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86" w:rsidRDefault="00F50386">
      <w:pPr>
        <w:kinsoku w:val="0"/>
        <w:overflowPunct w:val="0"/>
        <w:spacing w:line="200" w:lineRule="exact"/>
        <w:rPr>
          <w:sz w:val="20"/>
          <w:szCs w:val="20"/>
        </w:rPr>
      </w:pPr>
      <w:bookmarkStart w:id="0" w:name="_GoBack"/>
      <w:bookmarkEnd w:id="0"/>
    </w:p>
    <w:p w:rsidR="00F50386" w:rsidRDefault="00F50386">
      <w:pPr>
        <w:kinsoku w:val="0"/>
        <w:overflowPunct w:val="0"/>
        <w:spacing w:before="7" w:line="200" w:lineRule="exact"/>
        <w:rPr>
          <w:sz w:val="20"/>
          <w:szCs w:val="20"/>
        </w:rPr>
      </w:pPr>
    </w:p>
    <w:p w:rsidR="00F50386" w:rsidRDefault="00F50386">
      <w:pPr>
        <w:kinsoku w:val="0"/>
        <w:overflowPunct w:val="0"/>
        <w:spacing w:before="7" w:line="110" w:lineRule="exact"/>
        <w:rPr>
          <w:sz w:val="11"/>
          <w:szCs w:val="11"/>
        </w:rPr>
      </w:pPr>
    </w:p>
    <w:p w:rsidR="00F50386" w:rsidRDefault="00F50386">
      <w:pPr>
        <w:kinsoku w:val="0"/>
        <w:overflowPunct w:val="0"/>
        <w:spacing w:line="276" w:lineRule="exact"/>
        <w:ind w:left="196" w:right="185"/>
        <w:jc w:val="both"/>
      </w:pPr>
      <w:r>
        <w:rPr>
          <w:i/>
          <w:iCs/>
        </w:rPr>
        <w:t>REMARQUE : La présente section porte sur le produit Zodiaq</w:t>
      </w:r>
      <w:r>
        <w:rPr>
          <w:i/>
          <w:iCs/>
          <w:sz w:val="16"/>
          <w:szCs w:val="16"/>
        </w:rPr>
        <w:t xml:space="preserve">md </w:t>
      </w:r>
      <w:r>
        <w:rPr>
          <w:i/>
          <w:iCs/>
        </w:rPr>
        <w:t>fabriqué par DuPont. Des renseignements techniques et une liste des fabricants et installateurs Zodiaq</w:t>
      </w:r>
      <w:r>
        <w:rPr>
          <w:i/>
          <w:iCs/>
          <w:sz w:val="16"/>
          <w:szCs w:val="16"/>
        </w:rPr>
        <w:t xml:space="preserve">md </w:t>
      </w:r>
      <w:r>
        <w:rPr>
          <w:i/>
          <w:iCs/>
        </w:rPr>
        <w:t>enregistrés auprès de DuPont peuvent être obtenus auprès d’un distributeur local de Zodiaq</w:t>
      </w:r>
      <w:r>
        <w:rPr>
          <w:i/>
          <w:iCs/>
          <w:sz w:val="16"/>
          <w:szCs w:val="16"/>
        </w:rPr>
        <w:t xml:space="preserve">md </w:t>
      </w:r>
      <w:r>
        <w:rPr>
          <w:i/>
          <w:iCs/>
        </w:rPr>
        <w:t>de DuPontmc. Pour connaître le distributeur local, communiquer par téléphone avec DuPont au 1 800 4-CORIAN (1 800 426-7426). Les professionnels de la construction et les professionnels en design peuvent copier ce document dans le but de rédiger des devis de construction ou des bons de commande pour des produits et matériaux fabriqués par E. I. du Pont de Nemours et compagnie.</w:t>
      </w:r>
    </w:p>
    <w:p w:rsidR="00F50386" w:rsidRDefault="00F50386">
      <w:pPr>
        <w:kinsoku w:val="0"/>
        <w:overflowPunct w:val="0"/>
        <w:spacing w:line="200" w:lineRule="exact"/>
        <w:rPr>
          <w:sz w:val="20"/>
          <w:szCs w:val="20"/>
        </w:rPr>
      </w:pPr>
    </w:p>
    <w:p w:rsidR="00F50386" w:rsidRDefault="00F50386">
      <w:pPr>
        <w:kinsoku w:val="0"/>
        <w:overflowPunct w:val="0"/>
        <w:spacing w:before="8" w:line="200" w:lineRule="exact"/>
        <w:rPr>
          <w:sz w:val="20"/>
          <w:szCs w:val="20"/>
        </w:rPr>
      </w:pPr>
    </w:p>
    <w:tbl>
      <w:tblPr>
        <w:tblW w:w="0" w:type="auto"/>
        <w:tblInd w:w="156" w:type="dxa"/>
        <w:tblLayout w:type="fixed"/>
        <w:tblCellMar>
          <w:left w:w="0" w:type="dxa"/>
          <w:right w:w="0" w:type="dxa"/>
        </w:tblCellMar>
        <w:tblLook w:val="0000" w:firstRow="0" w:lastRow="0" w:firstColumn="0" w:lastColumn="0" w:noHBand="0" w:noVBand="0"/>
      </w:tblPr>
      <w:tblGrid>
        <w:gridCol w:w="442"/>
        <w:gridCol w:w="480"/>
        <w:gridCol w:w="5971"/>
        <w:gridCol w:w="3125"/>
      </w:tblGrid>
      <w:tr w:rsidR="00F50386">
        <w:trPr>
          <w:trHeight w:hRule="exact" w:val="478"/>
        </w:trPr>
        <w:tc>
          <w:tcPr>
            <w:tcW w:w="442" w:type="dxa"/>
            <w:tcBorders>
              <w:top w:val="nil"/>
              <w:left w:val="nil"/>
              <w:bottom w:val="nil"/>
              <w:right w:val="nil"/>
            </w:tcBorders>
          </w:tcPr>
          <w:p w:rsidR="00F50386" w:rsidRDefault="00F50386">
            <w:pPr>
              <w:pStyle w:val="TableParagraph"/>
              <w:kinsoku w:val="0"/>
              <w:overflowPunct w:val="0"/>
              <w:spacing w:before="69"/>
              <w:ind w:left="40"/>
            </w:pPr>
            <w:r>
              <w:t>1</w:t>
            </w:r>
          </w:p>
        </w:tc>
        <w:tc>
          <w:tcPr>
            <w:tcW w:w="480" w:type="dxa"/>
            <w:tcBorders>
              <w:top w:val="nil"/>
              <w:left w:val="nil"/>
              <w:bottom w:val="nil"/>
              <w:right w:val="nil"/>
            </w:tcBorders>
          </w:tcPr>
          <w:p w:rsidR="00F50386" w:rsidRDefault="00F50386"/>
        </w:tc>
        <w:tc>
          <w:tcPr>
            <w:tcW w:w="5971" w:type="dxa"/>
            <w:tcBorders>
              <w:top w:val="nil"/>
              <w:left w:val="nil"/>
              <w:bottom w:val="nil"/>
              <w:right w:val="nil"/>
            </w:tcBorders>
          </w:tcPr>
          <w:p w:rsidR="00F50386" w:rsidRDefault="00F50386">
            <w:pPr>
              <w:pStyle w:val="TableParagraph"/>
              <w:kinsoku w:val="0"/>
              <w:overflowPunct w:val="0"/>
              <w:spacing w:before="69"/>
              <w:ind w:left="198"/>
            </w:pPr>
            <w:r>
              <w:t>Généralités</w:t>
            </w:r>
          </w:p>
        </w:tc>
        <w:tc>
          <w:tcPr>
            <w:tcW w:w="3125" w:type="dxa"/>
            <w:tcBorders>
              <w:top w:val="nil"/>
              <w:left w:val="nil"/>
              <w:bottom w:val="nil"/>
              <w:right w:val="nil"/>
            </w:tcBorders>
          </w:tcPr>
          <w:p w:rsidR="00F50386" w:rsidRDefault="00F50386"/>
        </w:tc>
      </w:tr>
      <w:tr w:rsidR="00F50386">
        <w:trPr>
          <w:trHeight w:hRule="exact" w:val="516"/>
        </w:trPr>
        <w:tc>
          <w:tcPr>
            <w:tcW w:w="44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1.1</w:t>
            </w:r>
          </w:p>
        </w:tc>
        <w:tc>
          <w:tcPr>
            <w:tcW w:w="480" w:type="dxa"/>
            <w:tcBorders>
              <w:top w:val="nil"/>
              <w:left w:val="nil"/>
              <w:bottom w:val="nil"/>
              <w:right w:val="nil"/>
            </w:tcBorders>
          </w:tcPr>
          <w:p w:rsidR="00F50386" w:rsidRDefault="00F50386"/>
        </w:tc>
        <w:tc>
          <w:tcPr>
            <w:tcW w:w="597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APERÇU</w:t>
            </w:r>
          </w:p>
        </w:tc>
        <w:tc>
          <w:tcPr>
            <w:tcW w:w="3125" w:type="dxa"/>
            <w:tcBorders>
              <w:top w:val="nil"/>
              <w:left w:val="nil"/>
              <w:bottom w:val="nil"/>
              <w:right w:val="nil"/>
            </w:tcBorders>
          </w:tcPr>
          <w:p w:rsidR="00F50386" w:rsidRDefault="00F50386"/>
        </w:tc>
      </w:tr>
      <w:tr w:rsidR="00F50386">
        <w:trPr>
          <w:trHeight w:hRule="exact" w:val="754"/>
        </w:trPr>
        <w:tc>
          <w:tcPr>
            <w:tcW w:w="442" w:type="dxa"/>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02"/>
            </w:pPr>
            <w:r>
              <w:t>.1</w:t>
            </w:r>
          </w:p>
        </w:tc>
        <w:tc>
          <w:tcPr>
            <w:tcW w:w="597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right="78"/>
            </w:pPr>
            <w:r>
              <w:t>Cet article comprend :  Fournir des éléments de fabrication en pierres synthétiques,</w:t>
            </w:r>
          </w:p>
        </w:tc>
        <w:tc>
          <w:tcPr>
            <w:tcW w:w="3125"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78"/>
            </w:pPr>
            <w:r>
              <w:t>notamment, mais sans s’y limiter, pour ce qui suit :</w:t>
            </w:r>
          </w:p>
        </w:tc>
      </w:tr>
    </w:tbl>
    <w:p w:rsidR="00F50386" w:rsidRDefault="00F50386">
      <w:pPr>
        <w:kinsoku w:val="0"/>
        <w:overflowPunct w:val="0"/>
        <w:spacing w:before="5" w:line="140" w:lineRule="exact"/>
        <w:rPr>
          <w:sz w:val="14"/>
          <w:szCs w:val="14"/>
        </w:rPr>
      </w:pPr>
    </w:p>
    <w:p w:rsidR="00F50386" w:rsidRDefault="00F50386">
      <w:pPr>
        <w:pStyle w:val="BodyText"/>
        <w:numPr>
          <w:ilvl w:val="0"/>
          <w:numId w:val="16"/>
        </w:numPr>
        <w:tabs>
          <w:tab w:val="left" w:pos="1851"/>
        </w:tabs>
        <w:kinsoku w:val="0"/>
        <w:overflowPunct w:val="0"/>
      </w:pPr>
      <w:r>
        <w:t>rebords de fenêtres;</w:t>
      </w:r>
    </w:p>
    <w:p w:rsidR="00F50386" w:rsidRDefault="00F50386">
      <w:pPr>
        <w:kinsoku w:val="0"/>
        <w:overflowPunct w:val="0"/>
        <w:spacing w:line="240" w:lineRule="exact"/>
      </w:pPr>
    </w:p>
    <w:p w:rsidR="00F50386" w:rsidRDefault="00F50386">
      <w:pPr>
        <w:pStyle w:val="BodyText"/>
        <w:numPr>
          <w:ilvl w:val="0"/>
          <w:numId w:val="16"/>
        </w:numPr>
        <w:tabs>
          <w:tab w:val="left" w:pos="1851"/>
        </w:tabs>
        <w:kinsoku w:val="0"/>
        <w:overflowPunct w:val="0"/>
      </w:pPr>
      <w:r>
        <w:t>comptoirs de lavabo ou de laboratoire avec éviers et joints;</w:t>
      </w:r>
    </w:p>
    <w:p w:rsidR="00F50386" w:rsidRDefault="00F50386">
      <w:pPr>
        <w:kinsoku w:val="0"/>
        <w:overflowPunct w:val="0"/>
        <w:spacing w:line="240" w:lineRule="exact"/>
      </w:pPr>
    </w:p>
    <w:p w:rsidR="00F50386" w:rsidRDefault="00F50386">
      <w:pPr>
        <w:pStyle w:val="BodyText"/>
        <w:numPr>
          <w:ilvl w:val="0"/>
          <w:numId w:val="16"/>
        </w:numPr>
        <w:tabs>
          <w:tab w:val="left" w:pos="1851"/>
        </w:tabs>
        <w:kinsoku w:val="0"/>
        <w:overflowPunct w:val="0"/>
      </w:pPr>
      <w:r>
        <w:t>comptoirs de lavabo ou de laboratoire avec éviers à montage sous plan;</w:t>
      </w:r>
    </w:p>
    <w:p w:rsidR="00F50386" w:rsidRDefault="00F50386">
      <w:pPr>
        <w:kinsoku w:val="0"/>
        <w:overflowPunct w:val="0"/>
        <w:spacing w:line="240" w:lineRule="exact"/>
      </w:pPr>
    </w:p>
    <w:p w:rsidR="00F50386" w:rsidRDefault="00F50386">
      <w:pPr>
        <w:pStyle w:val="BodyText"/>
        <w:numPr>
          <w:ilvl w:val="0"/>
          <w:numId w:val="16"/>
        </w:numPr>
        <w:tabs>
          <w:tab w:val="left" w:pos="1851"/>
        </w:tabs>
        <w:kinsoku w:val="0"/>
        <w:overflowPunct w:val="0"/>
      </w:pPr>
      <w:r>
        <w:t>comptoirs pour poste d’infirmière (réception);</w:t>
      </w:r>
    </w:p>
    <w:p w:rsidR="00F50386" w:rsidRDefault="00F50386">
      <w:pPr>
        <w:kinsoku w:val="0"/>
        <w:overflowPunct w:val="0"/>
        <w:spacing w:line="240" w:lineRule="exact"/>
      </w:pPr>
    </w:p>
    <w:p w:rsidR="00F50386" w:rsidRDefault="00F50386">
      <w:pPr>
        <w:pStyle w:val="BodyText"/>
        <w:numPr>
          <w:ilvl w:val="0"/>
          <w:numId w:val="16"/>
        </w:numPr>
        <w:tabs>
          <w:tab w:val="left" w:pos="1851"/>
        </w:tabs>
        <w:kinsoku w:val="0"/>
        <w:overflowPunct w:val="0"/>
      </w:pPr>
      <w:r>
        <w:t>comptoirs de meuble-lavabo;</w:t>
      </w:r>
    </w:p>
    <w:p w:rsidR="00F50386" w:rsidRDefault="00F50386">
      <w:pPr>
        <w:kinsoku w:val="0"/>
        <w:overflowPunct w:val="0"/>
        <w:spacing w:line="240" w:lineRule="exact"/>
      </w:pPr>
    </w:p>
    <w:p w:rsidR="00F50386" w:rsidRDefault="00F50386">
      <w:pPr>
        <w:pStyle w:val="BodyText"/>
        <w:numPr>
          <w:ilvl w:val="0"/>
          <w:numId w:val="16"/>
        </w:numPr>
        <w:tabs>
          <w:tab w:val="left" w:pos="1851"/>
        </w:tabs>
        <w:kinsoku w:val="0"/>
        <w:overflowPunct w:val="0"/>
      </w:pPr>
      <w:r>
        <w:t>comptoirs de cafétéria (surfaces chaudes et froides);</w:t>
      </w:r>
    </w:p>
    <w:p w:rsidR="00F50386" w:rsidRDefault="00F50386">
      <w:pPr>
        <w:kinsoku w:val="0"/>
        <w:overflowPunct w:val="0"/>
        <w:spacing w:line="240" w:lineRule="exact"/>
      </w:pPr>
    </w:p>
    <w:p w:rsidR="00F50386" w:rsidRDefault="00F50386">
      <w:pPr>
        <w:pStyle w:val="BodyText"/>
        <w:numPr>
          <w:ilvl w:val="0"/>
          <w:numId w:val="16"/>
        </w:numPr>
        <w:tabs>
          <w:tab w:val="left" w:pos="1851"/>
        </w:tabs>
        <w:kinsoku w:val="0"/>
        <w:overflowPunct w:val="0"/>
      </w:pPr>
      <w:r>
        <w:t>comptoirs pour travaux de menuiserie avec éviers;</w:t>
      </w:r>
    </w:p>
    <w:p w:rsidR="00F50386" w:rsidRDefault="00F50386">
      <w:pPr>
        <w:kinsoku w:val="0"/>
        <w:overflowPunct w:val="0"/>
        <w:spacing w:line="240" w:lineRule="exact"/>
      </w:pPr>
    </w:p>
    <w:p w:rsidR="00F50386" w:rsidRDefault="00F50386">
      <w:pPr>
        <w:pStyle w:val="BodyText"/>
        <w:numPr>
          <w:ilvl w:val="0"/>
          <w:numId w:val="16"/>
        </w:numPr>
        <w:tabs>
          <w:tab w:val="left" w:pos="1851"/>
        </w:tabs>
        <w:kinsoku w:val="0"/>
        <w:overflowPunct w:val="0"/>
      </w:pPr>
      <w:r>
        <w:t>unité de charge sans fil.</w:t>
      </w:r>
    </w:p>
    <w:p w:rsidR="00F50386" w:rsidRDefault="00F50386">
      <w:pPr>
        <w:kinsoku w:val="0"/>
        <w:overflowPunct w:val="0"/>
        <w:spacing w:line="240" w:lineRule="exact"/>
      </w:pPr>
    </w:p>
    <w:p w:rsidR="00F50386" w:rsidRDefault="00F50386">
      <w:pPr>
        <w:pStyle w:val="BodyText"/>
        <w:numPr>
          <w:ilvl w:val="0"/>
          <w:numId w:val="15"/>
        </w:numPr>
        <w:tabs>
          <w:tab w:val="left" w:pos="1275"/>
        </w:tabs>
        <w:kinsoku w:val="0"/>
        <w:overflowPunct w:val="0"/>
        <w:ind w:left="1276" w:right="188"/>
      </w:pPr>
      <w:r>
        <w:t>Articles connexes : La description des travaux qui suit n’est fournie qu’à titre de référence et ne doit pas être considérée comme complète :</w:t>
      </w:r>
    </w:p>
    <w:p w:rsidR="00F50386" w:rsidRDefault="00F50386">
      <w:pPr>
        <w:kinsoku w:val="0"/>
        <w:overflowPunct w:val="0"/>
        <w:spacing w:before="5" w:line="200" w:lineRule="exact"/>
        <w:rPr>
          <w:sz w:val="20"/>
          <w:szCs w:val="20"/>
        </w:rPr>
      </w:pPr>
    </w:p>
    <w:p w:rsidR="00F50386" w:rsidRDefault="00F50386">
      <w:pPr>
        <w:pStyle w:val="BodyText"/>
        <w:numPr>
          <w:ilvl w:val="1"/>
          <w:numId w:val="15"/>
        </w:numPr>
        <w:tabs>
          <w:tab w:val="left" w:pos="1851"/>
        </w:tabs>
        <w:kinsoku w:val="0"/>
        <w:overflowPunct w:val="0"/>
        <w:ind w:right="187"/>
      </w:pPr>
      <w:r>
        <w:t>Application des exigences générales LEED</w:t>
      </w:r>
      <w:r>
        <w:rPr>
          <w:sz w:val="16"/>
          <w:szCs w:val="16"/>
        </w:rPr>
        <w:t>®</w:t>
      </w:r>
      <w:r>
        <w:t> :  Article 01 33 29, exigences générales LEED</w:t>
      </w:r>
      <w:r>
        <w:rPr>
          <w:sz w:val="16"/>
          <w:szCs w:val="16"/>
        </w:rPr>
        <w:t>®</w:t>
      </w:r>
      <w:r>
        <w:t>.</w:t>
      </w:r>
    </w:p>
    <w:p w:rsidR="00F50386" w:rsidRDefault="00F50386">
      <w:pPr>
        <w:kinsoku w:val="0"/>
        <w:overflowPunct w:val="0"/>
        <w:spacing w:before="5" w:line="200" w:lineRule="exact"/>
        <w:rPr>
          <w:sz w:val="20"/>
          <w:szCs w:val="20"/>
        </w:rPr>
      </w:pPr>
    </w:p>
    <w:p w:rsidR="00F50386" w:rsidRDefault="00F50386">
      <w:pPr>
        <w:pStyle w:val="BodyText"/>
        <w:numPr>
          <w:ilvl w:val="1"/>
          <w:numId w:val="15"/>
        </w:numPr>
        <w:tabs>
          <w:tab w:val="left" w:pos="1851"/>
        </w:tabs>
        <w:kinsoku w:val="0"/>
        <w:overflowPunct w:val="0"/>
        <w:ind w:right="188"/>
      </w:pPr>
      <w:r>
        <w:t>Application des exigences générales LEED</w:t>
      </w:r>
      <w:r>
        <w:rPr>
          <w:sz w:val="16"/>
          <w:szCs w:val="16"/>
        </w:rPr>
        <w:t>®</w:t>
      </w:r>
      <w:r>
        <w:t xml:space="preserve"> concernant les produits : Article 01 60 13, exigences LEED</w:t>
      </w:r>
      <w:r>
        <w:rPr>
          <w:sz w:val="16"/>
          <w:szCs w:val="16"/>
        </w:rPr>
        <w:t>®</w:t>
      </w:r>
      <w:r>
        <w:t xml:space="preserve"> concernant les produits.</w:t>
      </w:r>
    </w:p>
    <w:p w:rsidR="00F50386" w:rsidRDefault="00F50386">
      <w:pPr>
        <w:kinsoku w:val="0"/>
        <w:overflowPunct w:val="0"/>
        <w:spacing w:line="240" w:lineRule="exact"/>
      </w:pPr>
    </w:p>
    <w:p w:rsidR="00F50386" w:rsidRDefault="00F50386">
      <w:pPr>
        <w:pStyle w:val="BodyText"/>
        <w:numPr>
          <w:ilvl w:val="1"/>
          <w:numId w:val="15"/>
        </w:numPr>
        <w:tabs>
          <w:tab w:val="left" w:pos="1851"/>
        </w:tabs>
        <w:kinsoku w:val="0"/>
        <w:overflowPunct w:val="0"/>
        <w:ind w:right="188"/>
      </w:pPr>
      <w:r>
        <w:t>Exigences en matière de gestion et d’évacuation des déchets : Article 01 74 19, gestion et évacuation des déchets.</w:t>
      </w:r>
    </w:p>
    <w:p w:rsidR="00F50386" w:rsidRDefault="00F50386">
      <w:pPr>
        <w:kinsoku w:val="0"/>
        <w:overflowPunct w:val="0"/>
        <w:spacing w:line="240" w:lineRule="exact"/>
      </w:pPr>
    </w:p>
    <w:p w:rsidR="00F50386" w:rsidRDefault="00F50386">
      <w:pPr>
        <w:pStyle w:val="BodyText"/>
        <w:numPr>
          <w:ilvl w:val="1"/>
          <w:numId w:val="15"/>
        </w:numPr>
        <w:tabs>
          <w:tab w:val="left" w:pos="1851"/>
        </w:tabs>
        <w:kinsoku w:val="0"/>
        <w:overflowPunct w:val="0"/>
        <w:ind w:right="185"/>
      </w:pPr>
      <w:r>
        <w:t>Application des exigences en matière de qualité de l’air intérieur : Article 01 81 19, exigences en matière de qualité de l’air intérieur.</w:t>
      </w:r>
    </w:p>
    <w:p w:rsidR="00F50386" w:rsidRDefault="00F50386">
      <w:pPr>
        <w:kinsoku w:val="0"/>
        <w:overflowPunct w:val="0"/>
        <w:spacing w:line="240" w:lineRule="exact"/>
      </w:pPr>
    </w:p>
    <w:p w:rsidR="00F50386" w:rsidRDefault="00F50386">
      <w:pPr>
        <w:pStyle w:val="BodyText"/>
        <w:numPr>
          <w:ilvl w:val="1"/>
          <w:numId w:val="15"/>
        </w:numPr>
        <w:tabs>
          <w:tab w:val="left" w:pos="1851"/>
        </w:tabs>
        <w:kinsoku w:val="0"/>
        <w:overflowPunct w:val="0"/>
        <w:ind w:right="190"/>
      </w:pPr>
      <w:r>
        <w:t xml:space="preserve">Fourniture de charpenterie de finition et menuiserie architecturale :  Article 06 40 00, </w:t>
      </w:r>
      <w:r>
        <w:lastRenderedPageBreak/>
        <w:t>menuiserie architecturale.</w:t>
      </w:r>
    </w:p>
    <w:p w:rsidR="00F50386" w:rsidRDefault="00F50386">
      <w:pPr>
        <w:pStyle w:val="BodyText"/>
        <w:numPr>
          <w:ilvl w:val="1"/>
          <w:numId w:val="15"/>
        </w:numPr>
        <w:tabs>
          <w:tab w:val="left" w:pos="1851"/>
        </w:tabs>
        <w:kinsoku w:val="0"/>
        <w:overflowPunct w:val="0"/>
        <w:ind w:right="190"/>
        <w:sectPr w:rsidR="00F50386">
          <w:headerReference w:type="even" r:id="rId8"/>
          <w:headerReference w:type="default" r:id="rId9"/>
          <w:footerReference w:type="even" r:id="rId10"/>
          <w:footerReference w:type="default" r:id="rId11"/>
          <w:pgSz w:w="12240" w:h="15840"/>
          <w:pgMar w:top="1520" w:right="820" w:bottom="1000" w:left="1100" w:header="743" w:footer="818" w:gutter="0"/>
          <w:pgNumType w:start="1"/>
          <w:cols w:space="720"/>
          <w:noEndnote/>
        </w:sectPr>
      </w:pPr>
    </w:p>
    <w:p w:rsidR="00F50386" w:rsidRDefault="00F50386">
      <w:pPr>
        <w:kinsoku w:val="0"/>
        <w:overflowPunct w:val="0"/>
        <w:spacing w:before="12" w:line="200" w:lineRule="exact"/>
        <w:rPr>
          <w:sz w:val="20"/>
          <w:szCs w:val="20"/>
        </w:rPr>
      </w:pPr>
    </w:p>
    <w:p w:rsidR="00F50386" w:rsidRDefault="00F50386">
      <w:pPr>
        <w:pStyle w:val="BodyText"/>
        <w:numPr>
          <w:ilvl w:val="1"/>
          <w:numId w:val="15"/>
        </w:numPr>
        <w:tabs>
          <w:tab w:val="left" w:pos="1843"/>
        </w:tabs>
        <w:kinsoku w:val="0"/>
        <w:overflowPunct w:val="0"/>
        <w:spacing w:before="69"/>
        <w:ind w:left="1844"/>
      </w:pPr>
      <w:r>
        <w:t>Fourniture de mastics de jointoiement élastomériques : Article 07 92 00, mastics de jointoiement.</w:t>
      </w:r>
    </w:p>
    <w:p w:rsidR="00F50386" w:rsidRDefault="00F50386">
      <w:pPr>
        <w:kinsoku w:val="0"/>
        <w:overflowPunct w:val="0"/>
        <w:spacing w:line="240" w:lineRule="exact"/>
      </w:pPr>
    </w:p>
    <w:p w:rsidR="00F50386" w:rsidRDefault="00F50386">
      <w:pPr>
        <w:pStyle w:val="BodyText"/>
        <w:numPr>
          <w:ilvl w:val="1"/>
          <w:numId w:val="15"/>
        </w:numPr>
        <w:tabs>
          <w:tab w:val="left" w:pos="1843"/>
        </w:tabs>
        <w:kinsoku w:val="0"/>
        <w:overflowPunct w:val="0"/>
        <w:ind w:left="1844"/>
      </w:pPr>
      <w:r>
        <w:t>Fourniture de carrelage : Article 09 30 00, carrelage.</w:t>
      </w:r>
    </w:p>
    <w:p w:rsidR="00F50386" w:rsidRDefault="00F50386">
      <w:pPr>
        <w:kinsoku w:val="0"/>
        <w:overflowPunct w:val="0"/>
        <w:spacing w:line="240" w:lineRule="exact"/>
      </w:pPr>
    </w:p>
    <w:p w:rsidR="00F50386" w:rsidRDefault="00F50386">
      <w:pPr>
        <w:pStyle w:val="BodyText"/>
        <w:numPr>
          <w:ilvl w:val="1"/>
          <w:numId w:val="15"/>
        </w:numPr>
        <w:tabs>
          <w:tab w:val="left" w:pos="1843"/>
        </w:tabs>
        <w:kinsoku w:val="0"/>
        <w:overflowPunct w:val="0"/>
        <w:ind w:left="1844"/>
      </w:pPr>
      <w:r>
        <w:t>Fourniture de revêtements muraux : Article 09 72 00, revêtements muraux.</w:t>
      </w:r>
    </w:p>
    <w:p w:rsidR="00F50386" w:rsidRDefault="00F50386">
      <w:pPr>
        <w:kinsoku w:val="0"/>
        <w:overflowPunct w:val="0"/>
        <w:spacing w:line="240" w:lineRule="exact"/>
      </w:pPr>
    </w:p>
    <w:p w:rsidR="00F50386" w:rsidRDefault="00F50386">
      <w:pPr>
        <w:pStyle w:val="BodyText"/>
        <w:numPr>
          <w:ilvl w:val="1"/>
          <w:numId w:val="15"/>
        </w:numPr>
        <w:tabs>
          <w:tab w:val="left" w:pos="1843"/>
        </w:tabs>
        <w:kinsoku w:val="0"/>
        <w:overflowPunct w:val="0"/>
        <w:ind w:left="1844"/>
      </w:pPr>
      <w:r>
        <w:t>Fourniture de plomberie et d’appareils de plomberie : [Division 22, Plumbing] [Mechanical].</w:t>
      </w:r>
    </w:p>
    <w:p w:rsidR="00F50386" w:rsidRDefault="00F50386">
      <w:pPr>
        <w:kinsoku w:val="0"/>
        <w:overflowPunct w:val="0"/>
        <w:spacing w:line="240" w:lineRule="exact"/>
      </w:pPr>
    </w:p>
    <w:p w:rsidR="00F50386" w:rsidRDefault="00F50386">
      <w:pPr>
        <w:pStyle w:val="BodyText"/>
        <w:numPr>
          <w:ilvl w:val="1"/>
          <w:numId w:val="14"/>
        </w:numPr>
        <w:tabs>
          <w:tab w:val="left" w:pos="1267"/>
        </w:tabs>
        <w:kinsoku w:val="0"/>
        <w:overflowPunct w:val="0"/>
        <w:ind w:left="1268"/>
      </w:pPr>
      <w:r>
        <w:t>RÉFÉRENCES</w:t>
      </w:r>
    </w:p>
    <w:p w:rsidR="00F50386" w:rsidRDefault="00F50386">
      <w:pPr>
        <w:kinsoku w:val="0"/>
        <w:overflowPunct w:val="0"/>
        <w:spacing w:line="240" w:lineRule="exact"/>
      </w:pPr>
    </w:p>
    <w:p w:rsidR="00F50386" w:rsidRDefault="00F50386">
      <w:pPr>
        <w:pStyle w:val="BodyText"/>
        <w:numPr>
          <w:ilvl w:val="2"/>
          <w:numId w:val="14"/>
        </w:numPr>
        <w:tabs>
          <w:tab w:val="left" w:pos="1267"/>
        </w:tabs>
        <w:kinsoku w:val="0"/>
        <w:overflowPunct w:val="0"/>
        <w:ind w:left="1268"/>
      </w:pPr>
      <w:r>
        <w:t>Abréviations et acronymes :</w:t>
      </w:r>
    </w:p>
    <w:p w:rsidR="00F50386" w:rsidRDefault="00F50386">
      <w:pPr>
        <w:kinsoku w:val="0"/>
        <w:overflowPunct w:val="0"/>
        <w:spacing w:before="5" w:line="200" w:lineRule="exact"/>
        <w:rPr>
          <w:sz w:val="20"/>
          <w:szCs w:val="20"/>
        </w:rPr>
      </w:pPr>
    </w:p>
    <w:p w:rsidR="00F50386" w:rsidRDefault="00F50386">
      <w:pPr>
        <w:pStyle w:val="BodyText"/>
        <w:numPr>
          <w:ilvl w:val="3"/>
          <w:numId w:val="14"/>
        </w:numPr>
        <w:tabs>
          <w:tab w:val="left" w:pos="1843"/>
        </w:tabs>
        <w:kinsoku w:val="0"/>
        <w:overflowPunct w:val="0"/>
        <w:ind w:left="1844"/>
        <w:rPr>
          <w:color w:val="000000"/>
        </w:rPr>
      </w:pPr>
      <w:r>
        <w:t>LEED</w:t>
      </w:r>
      <w:r>
        <w:rPr>
          <w:sz w:val="16"/>
          <w:szCs w:val="16"/>
        </w:rPr>
        <w:t>®</w:t>
      </w:r>
      <w:r>
        <w:t xml:space="preserve"> : Leadership in Energy and Environmental Design; </w:t>
      </w:r>
      <w:hyperlink r:id="rId12" w:history="1">
        <w:r>
          <w:rPr>
            <w:color w:val="0000FF"/>
            <w:u w:val="single"/>
          </w:rPr>
          <w:t>www.cagbc.org</w:t>
        </w:r>
        <w:r>
          <w:rPr>
            <w:color w:val="000000"/>
          </w:rPr>
          <w:t>.</w:t>
        </w:r>
      </w:hyperlink>
    </w:p>
    <w:p w:rsidR="00F50386" w:rsidRDefault="00F50386">
      <w:pPr>
        <w:kinsoku w:val="0"/>
        <w:overflowPunct w:val="0"/>
        <w:spacing w:before="1" w:line="170" w:lineRule="exact"/>
        <w:rPr>
          <w:sz w:val="17"/>
          <w:szCs w:val="17"/>
        </w:rPr>
      </w:pPr>
    </w:p>
    <w:p w:rsidR="00F50386" w:rsidRDefault="00F50386">
      <w:pPr>
        <w:pStyle w:val="BodyText"/>
        <w:numPr>
          <w:ilvl w:val="3"/>
          <w:numId w:val="14"/>
        </w:numPr>
        <w:tabs>
          <w:tab w:val="left" w:pos="1843"/>
        </w:tabs>
        <w:kinsoku w:val="0"/>
        <w:overflowPunct w:val="0"/>
        <w:spacing w:before="69"/>
        <w:ind w:left="1844"/>
      </w:pPr>
      <w:r>
        <w:t>MDF : panneau de fibres à densité moyenne.</w:t>
      </w:r>
    </w:p>
    <w:p w:rsidR="00F50386" w:rsidRDefault="00F50386">
      <w:pPr>
        <w:kinsoku w:val="0"/>
        <w:overflowPunct w:val="0"/>
        <w:spacing w:line="240" w:lineRule="exact"/>
      </w:pPr>
    </w:p>
    <w:p w:rsidR="00F50386" w:rsidRDefault="00F50386">
      <w:pPr>
        <w:pStyle w:val="BodyText"/>
        <w:numPr>
          <w:ilvl w:val="3"/>
          <w:numId w:val="14"/>
        </w:numPr>
        <w:tabs>
          <w:tab w:val="left" w:pos="1843"/>
        </w:tabs>
        <w:kinsoku w:val="0"/>
        <w:overflowPunct w:val="0"/>
        <w:ind w:left="1844"/>
        <w:rPr>
          <w:color w:val="000000"/>
        </w:rPr>
      </w:pPr>
      <w:r>
        <w:t xml:space="preserve">SCAQMD : South Coast Air Quality Management District; </w:t>
      </w:r>
      <w:hyperlink r:id="rId13" w:history="1">
        <w:r>
          <w:rPr>
            <w:color w:val="0000FF"/>
            <w:u w:val="single"/>
          </w:rPr>
          <w:t>www.aqmd.gov</w:t>
        </w:r>
      </w:hyperlink>
      <w:r>
        <w:rPr>
          <w:color w:val="000000"/>
        </w:rPr>
        <w:t>.</w:t>
      </w:r>
    </w:p>
    <w:p w:rsidR="00F50386" w:rsidRDefault="00F50386">
      <w:pPr>
        <w:kinsoku w:val="0"/>
        <w:overflowPunct w:val="0"/>
        <w:spacing w:before="1" w:line="170" w:lineRule="exact"/>
        <w:rPr>
          <w:sz w:val="17"/>
          <w:szCs w:val="17"/>
        </w:rPr>
      </w:pPr>
    </w:p>
    <w:p w:rsidR="00F50386" w:rsidRDefault="00F50386">
      <w:pPr>
        <w:pStyle w:val="BodyText"/>
        <w:numPr>
          <w:ilvl w:val="3"/>
          <w:numId w:val="14"/>
        </w:numPr>
        <w:tabs>
          <w:tab w:val="left" w:pos="1843"/>
        </w:tabs>
        <w:kinsoku w:val="0"/>
        <w:overflowPunct w:val="0"/>
        <w:spacing w:before="69"/>
        <w:ind w:left="1844"/>
      </w:pPr>
      <w:r>
        <w:t>COV : composé organique volatil.</w:t>
      </w:r>
    </w:p>
    <w:p w:rsidR="00F50386" w:rsidRDefault="00F50386">
      <w:pPr>
        <w:kinsoku w:val="0"/>
        <w:overflowPunct w:val="0"/>
        <w:spacing w:line="240" w:lineRule="exact"/>
      </w:pPr>
    </w:p>
    <w:p w:rsidR="00F50386" w:rsidRDefault="00F50386">
      <w:pPr>
        <w:pStyle w:val="BodyText"/>
        <w:numPr>
          <w:ilvl w:val="2"/>
          <w:numId w:val="14"/>
        </w:numPr>
        <w:tabs>
          <w:tab w:val="left" w:pos="1267"/>
        </w:tabs>
        <w:kinsoku w:val="0"/>
        <w:overflowPunct w:val="0"/>
        <w:ind w:left="1268"/>
      </w:pPr>
      <w:r>
        <w:t>Définitions :</w:t>
      </w:r>
    </w:p>
    <w:p w:rsidR="00F50386" w:rsidRDefault="00F50386">
      <w:pPr>
        <w:kinsoku w:val="0"/>
        <w:overflowPunct w:val="0"/>
        <w:spacing w:line="240" w:lineRule="exact"/>
      </w:pPr>
    </w:p>
    <w:p w:rsidR="00F50386" w:rsidRDefault="00F50386">
      <w:pPr>
        <w:pStyle w:val="BodyText"/>
        <w:tabs>
          <w:tab w:val="left" w:pos="1843"/>
        </w:tabs>
        <w:kinsoku w:val="0"/>
        <w:overflowPunct w:val="0"/>
        <w:ind w:left="1844" w:right="196"/>
        <w:jc w:val="both"/>
      </w:pPr>
      <w:r>
        <w:t>.1</w:t>
      </w:r>
      <w:r>
        <w:tab/>
        <w:t>Revêtement massif en quartz : Habituellement, les revêtements de quartz sont composés de particules de quartz naturel, de monomères et de résines polymérisés, de pigments et d’autres additifs permettant d’améliorer le rendement. Ils sont fabriqués sous la forme de dalles, dont les différentes épaisseurs sont spécifiées. Les revêtements de quartz sont solides, non poreux et homogènes et présentent des propriétés de résistance, de dureté et de durabilité.</w:t>
      </w:r>
    </w:p>
    <w:p w:rsidR="00F50386" w:rsidRDefault="00F50386">
      <w:pPr>
        <w:kinsoku w:val="0"/>
        <w:overflowPunct w:val="0"/>
        <w:spacing w:line="240" w:lineRule="exact"/>
      </w:pPr>
    </w:p>
    <w:p w:rsidR="00F50386" w:rsidRDefault="00F50386">
      <w:pPr>
        <w:pStyle w:val="BodyText"/>
        <w:numPr>
          <w:ilvl w:val="2"/>
          <w:numId w:val="14"/>
        </w:numPr>
        <w:tabs>
          <w:tab w:val="left" w:pos="1267"/>
        </w:tabs>
        <w:kinsoku w:val="0"/>
        <w:overflowPunct w:val="0"/>
        <w:ind w:left="1268"/>
      </w:pPr>
      <w:r>
        <w:t>Normes de référence :</w:t>
      </w:r>
    </w:p>
    <w:p w:rsidR="00F50386" w:rsidRDefault="00F50386">
      <w:pPr>
        <w:kinsoku w:val="0"/>
        <w:overflowPunct w:val="0"/>
        <w:spacing w:before="1" w:line="170" w:lineRule="exact"/>
        <w:rPr>
          <w:sz w:val="17"/>
          <w:szCs w:val="17"/>
        </w:rPr>
      </w:pPr>
    </w:p>
    <w:tbl>
      <w:tblPr>
        <w:tblW w:w="0" w:type="auto"/>
        <w:tblInd w:w="1228" w:type="dxa"/>
        <w:tblLayout w:type="fixed"/>
        <w:tblCellMar>
          <w:left w:w="0" w:type="dxa"/>
          <w:right w:w="0" w:type="dxa"/>
        </w:tblCellMar>
        <w:tblLook w:val="0000" w:firstRow="0" w:lastRow="0" w:firstColumn="0" w:lastColumn="0" w:noHBand="0" w:noVBand="0"/>
      </w:tblPr>
      <w:tblGrid>
        <w:gridCol w:w="418"/>
        <w:gridCol w:w="2765"/>
        <w:gridCol w:w="5754"/>
      </w:tblGrid>
      <w:tr w:rsidR="00F50386">
        <w:trPr>
          <w:trHeight w:hRule="exact" w:val="478"/>
        </w:trPr>
        <w:tc>
          <w:tcPr>
            <w:tcW w:w="418" w:type="dxa"/>
            <w:tcBorders>
              <w:top w:val="nil"/>
              <w:left w:val="nil"/>
              <w:bottom w:val="nil"/>
              <w:right w:val="nil"/>
            </w:tcBorders>
          </w:tcPr>
          <w:p w:rsidR="00F50386" w:rsidRDefault="00F50386">
            <w:pPr>
              <w:pStyle w:val="TableParagraph"/>
              <w:kinsoku w:val="0"/>
              <w:overflowPunct w:val="0"/>
              <w:spacing w:before="69"/>
              <w:ind w:left="40"/>
            </w:pPr>
            <w:r>
              <w:t>.1</w:t>
            </w:r>
          </w:p>
        </w:tc>
        <w:tc>
          <w:tcPr>
            <w:tcW w:w="2765" w:type="dxa"/>
            <w:tcBorders>
              <w:top w:val="nil"/>
              <w:left w:val="nil"/>
              <w:bottom w:val="nil"/>
              <w:right w:val="nil"/>
            </w:tcBorders>
          </w:tcPr>
          <w:p w:rsidR="00F50386" w:rsidRDefault="00F50386">
            <w:pPr>
              <w:pStyle w:val="TableParagraph"/>
              <w:kinsoku w:val="0"/>
              <w:overflowPunct w:val="0"/>
              <w:spacing w:before="69"/>
              <w:ind w:left="198"/>
            </w:pPr>
            <w:r>
              <w:t>ANSI/NEMA LD 3-05</w:t>
            </w:r>
          </w:p>
        </w:tc>
        <w:tc>
          <w:tcPr>
            <w:tcW w:w="5754" w:type="dxa"/>
            <w:tcBorders>
              <w:top w:val="nil"/>
              <w:left w:val="nil"/>
              <w:bottom w:val="nil"/>
              <w:right w:val="nil"/>
            </w:tcBorders>
          </w:tcPr>
          <w:p w:rsidR="00F50386" w:rsidRDefault="00F50386">
            <w:pPr>
              <w:pStyle w:val="TableParagraph"/>
              <w:kinsoku w:val="0"/>
              <w:overflowPunct w:val="0"/>
              <w:spacing w:before="69"/>
              <w:ind w:left="96"/>
            </w:pPr>
            <w:r>
              <w:t>– High-Pressure Decorative Laminates (HPDL)</w:t>
            </w:r>
          </w:p>
        </w:tc>
      </w:tr>
      <w:tr w:rsidR="00F50386">
        <w:trPr>
          <w:trHeight w:hRule="exact" w:val="792"/>
        </w:trPr>
        <w:tc>
          <w:tcPr>
            <w:tcW w:w="41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w:t>
            </w:r>
          </w:p>
        </w:tc>
        <w:tc>
          <w:tcPr>
            <w:tcW w:w="2765"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ANSI/NPA A208.2-09</w:t>
            </w:r>
          </w:p>
        </w:tc>
        <w:tc>
          <w:tcPr>
            <w:tcW w:w="575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4462"/>
                <w:tab w:val="left" w:pos="4997"/>
              </w:tabs>
              <w:kinsoku w:val="0"/>
              <w:overflowPunct w:val="0"/>
              <w:ind w:left="96" w:right="40"/>
            </w:pPr>
            <w:r>
              <w:t>– Medium Density Fiberboard (MDF)</w:t>
            </w:r>
            <w:r>
              <w:tab/>
              <w:t>For</w:t>
            </w:r>
            <w:r>
              <w:tab/>
              <w:t>Interior Applications</w:t>
            </w:r>
          </w:p>
        </w:tc>
      </w:tr>
      <w:tr w:rsidR="00F50386">
        <w:trPr>
          <w:trHeight w:hRule="exact" w:val="792"/>
        </w:trPr>
        <w:tc>
          <w:tcPr>
            <w:tcW w:w="41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.3</w:t>
            </w:r>
          </w:p>
        </w:tc>
        <w:tc>
          <w:tcPr>
            <w:tcW w:w="2765"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ASTM C170/C170M-15a</w:t>
            </w:r>
          </w:p>
        </w:tc>
        <w:tc>
          <w:tcPr>
            <w:tcW w:w="575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96" w:right="40"/>
            </w:pPr>
            <w:r>
              <w:t>– Standard Test Method for Compressive Strength of Dimension Stone</w:t>
            </w:r>
          </w:p>
        </w:tc>
      </w:tr>
      <w:tr w:rsidR="00F50386">
        <w:trPr>
          <w:trHeight w:hRule="exact" w:val="792"/>
        </w:trPr>
        <w:tc>
          <w:tcPr>
            <w:tcW w:w="41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.4</w:t>
            </w:r>
          </w:p>
        </w:tc>
        <w:tc>
          <w:tcPr>
            <w:tcW w:w="2765"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ASTM C370-12</w:t>
            </w:r>
          </w:p>
        </w:tc>
        <w:tc>
          <w:tcPr>
            <w:tcW w:w="575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96" w:right="40"/>
            </w:pPr>
            <w:r>
              <w:t>– Standard Test Method for Moisture Expansion of Fired Whiteware Products</w:t>
            </w:r>
          </w:p>
        </w:tc>
      </w:tr>
      <w:tr w:rsidR="00F50386">
        <w:trPr>
          <w:trHeight w:hRule="exact" w:val="1344"/>
        </w:trPr>
        <w:tc>
          <w:tcPr>
            <w:tcW w:w="41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.5</w:t>
            </w:r>
          </w:p>
        </w:tc>
        <w:tc>
          <w:tcPr>
            <w:tcW w:w="2765"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ASTM C373-14a</w:t>
            </w:r>
          </w:p>
        </w:tc>
        <w:tc>
          <w:tcPr>
            <w:tcW w:w="575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96" w:right="40"/>
              <w:jc w:val="both"/>
            </w:pPr>
            <w:r>
              <w:t>– Standard Test Method for Water Absorption, Bulk Density, Apparent Porosity, and Apparent Specific Gravity of Fires Whiteware products, Ceramic Tiles, and Glass Tiles</w:t>
            </w:r>
          </w:p>
        </w:tc>
      </w:tr>
      <w:tr w:rsidR="00F50386">
        <w:trPr>
          <w:trHeight w:hRule="exact" w:val="792"/>
        </w:trPr>
        <w:tc>
          <w:tcPr>
            <w:tcW w:w="41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.6</w:t>
            </w:r>
          </w:p>
        </w:tc>
        <w:tc>
          <w:tcPr>
            <w:tcW w:w="2765"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ASTM C501-84(09)</w:t>
            </w:r>
          </w:p>
        </w:tc>
        <w:tc>
          <w:tcPr>
            <w:tcW w:w="575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96" w:right="42"/>
            </w:pPr>
            <w:r>
              <w:t>– Standard Test Method for relative Resistance to Wear of Unglazed Ceramic Tile by the Taber Abraser</w:t>
            </w:r>
          </w:p>
        </w:tc>
      </w:tr>
      <w:tr w:rsidR="00F50386">
        <w:trPr>
          <w:trHeight w:hRule="exact" w:val="478"/>
        </w:trPr>
        <w:tc>
          <w:tcPr>
            <w:tcW w:w="41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.7</w:t>
            </w:r>
          </w:p>
        </w:tc>
        <w:tc>
          <w:tcPr>
            <w:tcW w:w="2765"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ASTM C920-14a</w:t>
            </w:r>
          </w:p>
        </w:tc>
        <w:tc>
          <w:tcPr>
            <w:tcW w:w="575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96"/>
            </w:pPr>
            <w:r>
              <w:t>– Standard Specification for Elastomeric Joint Sealants</w:t>
            </w:r>
          </w:p>
        </w:tc>
      </w:tr>
    </w:tbl>
    <w:p w:rsidR="00F50386" w:rsidRDefault="00F50386">
      <w:pPr>
        <w:sectPr w:rsidR="00F50386">
          <w:pgSz w:w="12240" w:h="15840"/>
          <w:pgMar w:top="1520" w:right="1100" w:bottom="1000" w:left="820" w:header="743" w:footer="818" w:gutter="0"/>
          <w:cols w:space="720"/>
          <w:noEndnote/>
        </w:sectPr>
      </w:pPr>
    </w:p>
    <w:p w:rsidR="00F50386" w:rsidRDefault="00F50386">
      <w:pPr>
        <w:kinsoku w:val="0"/>
        <w:overflowPunct w:val="0"/>
        <w:spacing w:before="12" w:line="200" w:lineRule="exact"/>
        <w:rPr>
          <w:sz w:val="20"/>
          <w:szCs w:val="20"/>
        </w:rPr>
      </w:pPr>
    </w:p>
    <w:tbl>
      <w:tblPr>
        <w:tblW w:w="0" w:type="auto"/>
        <w:tblInd w:w="1236" w:type="dxa"/>
        <w:tblLayout w:type="fixed"/>
        <w:tblCellMar>
          <w:left w:w="0" w:type="dxa"/>
          <w:right w:w="0" w:type="dxa"/>
        </w:tblCellMar>
        <w:tblLook w:val="0000" w:firstRow="0" w:lastRow="0" w:firstColumn="0" w:lastColumn="0" w:noHBand="0" w:noVBand="0"/>
      </w:tblPr>
      <w:tblGrid>
        <w:gridCol w:w="478"/>
        <w:gridCol w:w="2572"/>
        <w:gridCol w:w="5891"/>
      </w:tblGrid>
      <w:tr w:rsidR="00F50386">
        <w:trPr>
          <w:trHeight w:hRule="exact" w:val="754"/>
        </w:trPr>
        <w:tc>
          <w:tcPr>
            <w:tcW w:w="478" w:type="dxa"/>
            <w:tcBorders>
              <w:top w:val="nil"/>
              <w:left w:val="nil"/>
              <w:bottom w:val="nil"/>
              <w:right w:val="nil"/>
            </w:tcBorders>
          </w:tcPr>
          <w:p w:rsidR="00F50386" w:rsidRDefault="00F50386">
            <w:pPr>
              <w:pStyle w:val="TableParagraph"/>
              <w:kinsoku w:val="0"/>
              <w:overflowPunct w:val="0"/>
              <w:spacing w:before="69"/>
              <w:ind w:left="40"/>
            </w:pPr>
            <w:r>
              <w:t>.8</w:t>
            </w:r>
          </w:p>
        </w:tc>
        <w:tc>
          <w:tcPr>
            <w:tcW w:w="2572" w:type="dxa"/>
            <w:tcBorders>
              <w:top w:val="nil"/>
              <w:left w:val="nil"/>
              <w:bottom w:val="nil"/>
              <w:right w:val="nil"/>
            </w:tcBorders>
          </w:tcPr>
          <w:p w:rsidR="00F50386" w:rsidRDefault="00F50386">
            <w:pPr>
              <w:pStyle w:val="TableParagraph"/>
              <w:kinsoku w:val="0"/>
              <w:overflowPunct w:val="0"/>
              <w:spacing w:before="69"/>
              <w:ind w:left="138"/>
            </w:pPr>
            <w:r>
              <w:t>ASTM C1026-13</w:t>
            </w:r>
          </w:p>
        </w:tc>
        <w:tc>
          <w:tcPr>
            <w:tcW w:w="5891" w:type="dxa"/>
            <w:tcBorders>
              <w:top w:val="nil"/>
              <w:left w:val="nil"/>
              <w:bottom w:val="nil"/>
              <w:right w:val="nil"/>
            </w:tcBorders>
          </w:tcPr>
          <w:p w:rsidR="00F50386" w:rsidRDefault="00F50386">
            <w:pPr>
              <w:pStyle w:val="TableParagraph"/>
              <w:kinsoku w:val="0"/>
              <w:overflowPunct w:val="0"/>
              <w:spacing w:before="69"/>
              <w:ind w:left="230"/>
            </w:pPr>
            <w:r>
              <w:t>– Standard Test Method for Measuring the Resistance of Ceramic and Glass Tile to Freeze-Thaw Cycling</w:t>
            </w:r>
          </w:p>
        </w:tc>
      </w:tr>
      <w:tr w:rsidR="00F50386">
        <w:trPr>
          <w:trHeight w:hRule="exact" w:val="1344"/>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.9</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ASTM C1028-06</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right="43"/>
              <w:jc w:val="both"/>
            </w:pPr>
            <w:r>
              <w:t>– Standard Test Method for Determining the Static Coefficient of Friction of Ceramic Tile and Other Like Surfaces by the Horizontal Dynamometer Pull-Meter Method</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.10</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ASTM D570-98(10)e1</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pPr>
            <w:r>
              <w:t>– Standard Test Method for Water Absorption of Plastics</w:t>
            </w:r>
          </w:p>
        </w:tc>
      </w:tr>
      <w:tr w:rsidR="00F50386">
        <w:trPr>
          <w:trHeight w:hRule="exact" w:val="1068"/>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.11</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ASTM D696-08e1</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right="41"/>
              <w:jc w:val="both"/>
            </w:pPr>
            <w:r>
              <w:t>– Standard Test Method for Coefficient of linear Thermal Expansion of Plastics Between -30°C and 30°C with a Vitreous Silica Dilatometer</w:t>
            </w:r>
          </w:p>
        </w:tc>
      </w:tr>
      <w:tr w:rsidR="00F50386">
        <w:trPr>
          <w:trHeight w:hRule="exact" w:val="1068"/>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.12</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ASTM D790-10</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right="46"/>
              <w:jc w:val="both"/>
            </w:pPr>
            <w:r>
              <w:t>– Standard Test Methods for Flexural Properties of Unreinforced and Reinforced Plastics and Electrical Insulating Materials</w:t>
            </w:r>
          </w:p>
        </w:tc>
      </w:tr>
      <w:tr w:rsidR="00F50386">
        <w:trPr>
          <w:trHeight w:hRule="exact" w:val="792"/>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.13</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ASTM D792-13</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right="42"/>
            </w:pPr>
            <w:r>
              <w:t>– Standard Test Methods for Density and Specific Gravity (Relative Density) of Plastics by Displacement</w:t>
            </w:r>
          </w:p>
        </w:tc>
      </w:tr>
      <w:tr w:rsidR="00F50386">
        <w:trPr>
          <w:trHeight w:hRule="exact" w:val="792"/>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.14</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ASTM E84-14</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597"/>
                <w:tab w:val="left" w:pos="1737"/>
                <w:tab w:val="left" w:pos="2438"/>
                <w:tab w:val="left" w:pos="3472"/>
                <w:tab w:val="left" w:pos="4039"/>
                <w:tab w:val="left" w:pos="5059"/>
              </w:tabs>
              <w:kinsoku w:val="0"/>
              <w:overflowPunct w:val="0"/>
              <w:ind w:left="230" w:right="44"/>
            </w:pPr>
            <w:r>
              <w:t>-</w:t>
            </w:r>
            <w:r>
              <w:tab/>
              <w:t>Standard</w:t>
            </w:r>
            <w:r>
              <w:tab/>
              <w:t>Test</w:t>
            </w:r>
            <w:r>
              <w:tab/>
              <w:t>Method</w:t>
            </w:r>
            <w:r>
              <w:tab/>
              <w:t>for</w:t>
            </w:r>
            <w:r>
              <w:tab/>
              <w:t>Surface</w:t>
            </w:r>
            <w:r>
              <w:tab/>
              <w:t>Burning Characteristics of Building Materials</w:t>
            </w:r>
          </w:p>
        </w:tc>
      </w:tr>
      <w:tr w:rsidR="00F50386">
        <w:trPr>
          <w:trHeight w:hRule="exact" w:val="792"/>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.15</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ASTM G21-13</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pPr>
            <w:r>
              <w:t>– Standard Practice for Determining Resistance of Synthetic Polymeric Materials to Fungi</w:t>
            </w:r>
          </w:p>
        </w:tc>
      </w:tr>
      <w:tr w:rsidR="00F50386">
        <w:trPr>
          <w:trHeight w:hRule="exact" w:val="792"/>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.16</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ASTM G22-76(96)</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right="43"/>
            </w:pPr>
            <w:r>
              <w:t>– Standard Practice for Determining Resistance of Plastics to Bacteria</w:t>
            </w:r>
          </w:p>
        </w:tc>
      </w:tr>
      <w:tr w:rsidR="00F50386">
        <w:trPr>
          <w:trHeight w:hRule="exact" w:val="792"/>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.17</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right="535"/>
            </w:pPr>
            <w:r>
              <w:t>CSA B45.5-11/ IAPMO Z124-2011</w:t>
            </w:r>
          </w:p>
        </w:tc>
        <w:tc>
          <w:tcPr>
            <w:tcW w:w="5891" w:type="dxa"/>
            <w:tcBorders>
              <w:top w:val="nil"/>
              <w:left w:val="nil"/>
              <w:bottom w:val="nil"/>
              <w:right w:val="nil"/>
            </w:tcBorders>
          </w:tcPr>
          <w:p w:rsidR="00F50386" w:rsidRDefault="00F50386">
            <w:pPr>
              <w:pStyle w:val="TableParagraph"/>
              <w:kinsoku w:val="0"/>
              <w:overflowPunct w:val="0"/>
              <w:spacing w:before="3" w:line="180" w:lineRule="exact"/>
              <w:rPr>
                <w:sz w:val="18"/>
                <w:szCs w:val="18"/>
              </w:rPr>
            </w:pPr>
          </w:p>
          <w:p w:rsidR="00F50386" w:rsidRDefault="00F50386">
            <w:pPr>
              <w:pStyle w:val="TableParagraph"/>
              <w:kinsoku w:val="0"/>
              <w:overflowPunct w:val="0"/>
              <w:spacing w:line="200" w:lineRule="exact"/>
              <w:rPr>
                <w:sz w:val="20"/>
                <w:szCs w:val="20"/>
              </w:rPr>
            </w:pPr>
          </w:p>
          <w:p w:rsidR="00F50386" w:rsidRDefault="00F50386">
            <w:pPr>
              <w:pStyle w:val="TableParagraph"/>
              <w:kinsoku w:val="0"/>
              <w:overflowPunct w:val="0"/>
              <w:ind w:left="230"/>
            </w:pPr>
            <w:r>
              <w:t>– Accessoires de plomberie en plastique</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.18</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CSA O115-M82</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pPr>
            <w:r>
              <w:t>– Bois dur et contre-plaqué décoratif</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.19</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NFPA 101-15</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pPr>
            <w:r>
              <w:t>– Life Safety Code and Handbook</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.20</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NSF/ANSI 51-07</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pPr>
            <w:r>
              <w:t>– Food Equipment Materials</w:t>
            </w:r>
          </w:p>
        </w:tc>
      </w:tr>
      <w:tr w:rsidR="00F50386">
        <w:trPr>
          <w:trHeight w:hRule="exact" w:val="792"/>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.21</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SCAQMD Règlement 1168</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pPr>
            <w:r>
              <w:t>– Adhesive and Sealant Applications (modifiée en janvier 2005)</w:t>
            </w:r>
          </w:p>
        </w:tc>
      </w:tr>
      <w:tr w:rsidR="00F50386">
        <w:trPr>
          <w:trHeight w:hRule="exact" w:val="792"/>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.22</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CAN/ULC-S102-07</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527"/>
                <w:tab w:val="left" w:pos="1598"/>
                <w:tab w:val="left" w:pos="2563"/>
                <w:tab w:val="left" w:pos="2980"/>
                <w:tab w:val="left" w:pos="3611"/>
                <w:tab w:val="left" w:pos="4108"/>
                <w:tab w:val="left" w:pos="5059"/>
              </w:tabs>
              <w:kinsoku w:val="0"/>
              <w:overflowPunct w:val="0"/>
              <w:ind w:left="230" w:right="44"/>
            </w:pPr>
            <w:r>
              <w:t>-</w:t>
            </w:r>
            <w:r>
              <w:tab/>
              <w:t>Standard</w:t>
            </w:r>
            <w:r>
              <w:tab/>
              <w:t>Method</w:t>
            </w:r>
            <w:r>
              <w:tab/>
              <w:t>of</w:t>
            </w:r>
            <w:r>
              <w:tab/>
              <w:t>Test</w:t>
            </w:r>
            <w:r>
              <w:tab/>
              <w:t>for</w:t>
            </w:r>
            <w:r>
              <w:tab/>
              <w:t>Surface</w:t>
            </w:r>
            <w:r>
              <w:tab/>
              <w:t>Burning Characteristics of Building Materials and Assemblies</w:t>
            </w:r>
          </w:p>
        </w:tc>
      </w:tr>
      <w:tr w:rsidR="00F50386">
        <w:trPr>
          <w:trHeight w:hRule="exact" w:val="754"/>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.23</w:t>
            </w:r>
          </w:p>
        </w:tc>
        <w:tc>
          <w:tcPr>
            <w:tcW w:w="257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UL 723</w:t>
            </w:r>
          </w:p>
        </w:tc>
        <w:tc>
          <w:tcPr>
            <w:tcW w:w="58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30"/>
            </w:pPr>
            <w:r>
              <w:t>– Standard for Test for Surface Burning Characteristics of Building Materials</w:t>
            </w:r>
          </w:p>
        </w:tc>
      </w:tr>
    </w:tbl>
    <w:p w:rsidR="00F50386" w:rsidRDefault="00F50386">
      <w:pPr>
        <w:sectPr w:rsidR="00F50386">
          <w:pgSz w:w="12240" w:h="15840"/>
          <w:pgMar w:top="1520" w:right="820" w:bottom="1000" w:left="1100" w:header="743" w:footer="818" w:gutter="0"/>
          <w:cols w:space="720"/>
          <w:noEndnote/>
        </w:sectPr>
      </w:pPr>
    </w:p>
    <w:p w:rsidR="00F50386" w:rsidRDefault="00F50386">
      <w:pPr>
        <w:kinsoku w:val="0"/>
        <w:overflowPunct w:val="0"/>
        <w:spacing w:before="12" w:line="200" w:lineRule="exact"/>
        <w:rPr>
          <w:sz w:val="20"/>
          <w:szCs w:val="20"/>
        </w:rPr>
      </w:pPr>
    </w:p>
    <w:tbl>
      <w:tblPr>
        <w:tblW w:w="0" w:type="auto"/>
        <w:tblInd w:w="148" w:type="dxa"/>
        <w:tblLayout w:type="fixed"/>
        <w:tblCellMar>
          <w:left w:w="0" w:type="dxa"/>
          <w:right w:w="0" w:type="dxa"/>
        </w:tblCellMar>
        <w:tblLook w:val="0000" w:firstRow="0" w:lastRow="0" w:firstColumn="0" w:lastColumn="0" w:noHBand="0" w:noVBand="0"/>
      </w:tblPr>
      <w:tblGrid>
        <w:gridCol w:w="442"/>
        <w:gridCol w:w="480"/>
        <w:gridCol w:w="9097"/>
      </w:tblGrid>
      <w:tr w:rsidR="00F50386">
        <w:trPr>
          <w:trHeight w:hRule="exact" w:val="874"/>
        </w:trPr>
        <w:tc>
          <w:tcPr>
            <w:tcW w:w="442" w:type="dxa"/>
            <w:tcBorders>
              <w:top w:val="nil"/>
              <w:left w:val="nil"/>
              <w:bottom w:val="nil"/>
              <w:right w:val="nil"/>
            </w:tcBorders>
          </w:tcPr>
          <w:p w:rsidR="00F50386" w:rsidRDefault="00F50386">
            <w:pPr>
              <w:pStyle w:val="TableParagraph"/>
              <w:kinsoku w:val="0"/>
              <w:overflowPunct w:val="0"/>
              <w:spacing w:before="69"/>
              <w:ind w:left="40"/>
            </w:pPr>
            <w:r>
              <w:t>1.3</w:t>
            </w:r>
          </w:p>
        </w:tc>
        <w:tc>
          <w:tcPr>
            <w:tcW w:w="480" w:type="dxa"/>
            <w:tcBorders>
              <w:top w:val="nil"/>
              <w:left w:val="nil"/>
              <w:bottom w:val="nil"/>
              <w:right w:val="nil"/>
            </w:tcBorders>
          </w:tcPr>
          <w:p w:rsidR="00F50386" w:rsidRDefault="00F50386">
            <w:pPr>
              <w:pStyle w:val="TableParagraph"/>
              <w:kinsoku w:val="0"/>
              <w:overflowPunct w:val="0"/>
              <w:spacing w:before="5" w:line="180" w:lineRule="exact"/>
              <w:rPr>
                <w:sz w:val="18"/>
                <w:szCs w:val="18"/>
              </w:rPr>
            </w:pPr>
          </w:p>
          <w:p w:rsidR="00F50386" w:rsidRDefault="00F50386">
            <w:pPr>
              <w:pStyle w:val="TableParagraph"/>
              <w:kinsoku w:val="0"/>
              <w:overflowPunct w:val="0"/>
              <w:spacing w:line="200" w:lineRule="exact"/>
              <w:rPr>
                <w:sz w:val="20"/>
                <w:szCs w:val="20"/>
              </w:rPr>
            </w:pPr>
          </w:p>
          <w:p w:rsidR="00F50386" w:rsidRDefault="00F50386">
            <w:pPr>
              <w:pStyle w:val="TableParagraph"/>
              <w:kinsoku w:val="0"/>
              <w:overflowPunct w:val="0"/>
              <w:spacing w:line="200" w:lineRule="exact"/>
              <w:rPr>
                <w:sz w:val="20"/>
                <w:szCs w:val="20"/>
              </w:rPr>
            </w:pPr>
          </w:p>
          <w:p w:rsidR="00F50386" w:rsidRDefault="00F50386">
            <w:pPr>
              <w:pStyle w:val="TableParagraph"/>
              <w:kinsoku w:val="0"/>
              <w:overflowPunct w:val="0"/>
              <w:ind w:left="102"/>
            </w:pPr>
            <w:r>
              <w:t>.1</w:t>
            </w:r>
          </w:p>
        </w:tc>
        <w:tc>
          <w:tcPr>
            <w:tcW w:w="9097" w:type="dxa"/>
            <w:tcBorders>
              <w:top w:val="nil"/>
              <w:left w:val="nil"/>
              <w:bottom w:val="nil"/>
              <w:right w:val="nil"/>
            </w:tcBorders>
          </w:tcPr>
          <w:p w:rsidR="00F50386" w:rsidRDefault="00F50386">
            <w:pPr>
              <w:pStyle w:val="TableParagraph"/>
              <w:kinsoku w:val="0"/>
              <w:overflowPunct w:val="0"/>
              <w:spacing w:before="69"/>
              <w:ind w:left="198"/>
            </w:pPr>
            <w:r>
              <w:t>EXIGENCES ADMINISTRATIVES</w:t>
            </w:r>
          </w:p>
          <w:p w:rsidR="00F50386" w:rsidRDefault="00F50386">
            <w:pPr>
              <w:pStyle w:val="TableParagraph"/>
              <w:kinsoku w:val="0"/>
              <w:overflowPunct w:val="0"/>
              <w:spacing w:line="240" w:lineRule="exact"/>
            </w:pPr>
          </w:p>
          <w:p w:rsidR="00F50386" w:rsidRDefault="00F50386">
            <w:pPr>
              <w:pStyle w:val="TableParagraph"/>
              <w:kinsoku w:val="0"/>
              <w:overflowPunct w:val="0"/>
              <w:ind w:left="198"/>
            </w:pPr>
            <w:r>
              <w:t>Rencontres avant installation : Organiser une rencontre avant installation une semaine avant le début</w:t>
            </w:r>
          </w:p>
        </w:tc>
      </w:tr>
      <w:tr w:rsidR="00F50386">
        <w:trPr>
          <w:trHeight w:hRule="exact" w:val="2604"/>
        </w:trPr>
        <w:tc>
          <w:tcPr>
            <w:tcW w:w="442" w:type="dxa"/>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tc>
        <w:tc>
          <w:tcPr>
            <w:tcW w:w="9097" w:type="dxa"/>
            <w:tcBorders>
              <w:top w:val="nil"/>
              <w:left w:val="nil"/>
              <w:bottom w:val="nil"/>
              <w:right w:val="nil"/>
            </w:tcBorders>
          </w:tcPr>
          <w:p w:rsidR="00F50386" w:rsidRDefault="00F50386">
            <w:pPr>
              <w:pStyle w:val="TableParagraph"/>
              <w:kinsoku w:val="0"/>
              <w:overflowPunct w:val="0"/>
              <w:spacing w:line="263" w:lineRule="exact"/>
              <w:ind w:left="198" w:right="44"/>
              <w:jc w:val="both"/>
            </w:pPr>
            <w:r>
              <w:t>des travaux avec toutes les parties associées à la transaction comme l’indiquent les documents du contrat ou selon</w:t>
            </w:r>
          </w:p>
          <w:p w:rsidR="00F50386" w:rsidRDefault="00F50386">
            <w:pPr>
              <w:pStyle w:val="TableParagraph"/>
              <w:kinsoku w:val="0"/>
              <w:overflowPunct w:val="0"/>
              <w:ind w:left="198" w:right="40"/>
              <w:jc w:val="both"/>
            </w:pPr>
            <w:r>
              <w:t>la demande du conseiller. La présidence de la rencontre sera assurée par l’entrepreneur et devrait comprendre le conseiller, le sous-traitant qui effectuera les travaux de cette transaction, le représentant du propriétaire et les conseillers des disciplines applicables. Examiner les documents du contrat pour connaître les travaux compris dans cette transaction et pleinement comprendre les exigences et les responsabilités relatives aux travaux compris, au stockage et à la manutention des matériaux, aux matériaux à utiliser, à l’installation des matériaux, au contrôle de la séquence et de la qualité, à la dotation en personnel du projet, aux restrictions sur les aires de travail et aux autres questions qui exercent une influence sur la construction afin d’être conforme à l’intention des travaux du présent article.</w:t>
            </w:r>
          </w:p>
        </w:tc>
      </w:tr>
      <w:tr w:rsidR="00F50386">
        <w:trPr>
          <w:trHeight w:hRule="exact" w:val="516"/>
        </w:trPr>
        <w:tc>
          <w:tcPr>
            <w:tcW w:w="44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1.4</w:t>
            </w:r>
          </w:p>
        </w:tc>
        <w:tc>
          <w:tcPr>
            <w:tcW w:w="480" w:type="dxa"/>
            <w:tcBorders>
              <w:top w:val="nil"/>
              <w:left w:val="nil"/>
              <w:bottom w:val="nil"/>
              <w:right w:val="nil"/>
            </w:tcBorders>
          </w:tcPr>
          <w:p w:rsidR="00F50386" w:rsidRDefault="00F50386"/>
        </w:tc>
        <w:tc>
          <w:tcPr>
            <w:tcW w:w="90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SOUMISSIONS</w:t>
            </w:r>
          </w:p>
        </w:tc>
      </w:tr>
      <w:tr w:rsidR="00F50386">
        <w:trPr>
          <w:trHeight w:hRule="exact" w:val="478"/>
        </w:trPr>
        <w:tc>
          <w:tcPr>
            <w:tcW w:w="442" w:type="dxa"/>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02"/>
            </w:pPr>
            <w:r>
              <w:t>.1</w:t>
            </w:r>
          </w:p>
        </w:tc>
        <w:tc>
          <w:tcPr>
            <w:tcW w:w="90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Données sur le produit :</w:t>
            </w:r>
          </w:p>
        </w:tc>
      </w:tr>
    </w:tbl>
    <w:p w:rsidR="00F50386" w:rsidRDefault="00F50386">
      <w:pPr>
        <w:kinsoku w:val="0"/>
        <w:overflowPunct w:val="0"/>
        <w:spacing w:before="5" w:line="140" w:lineRule="exact"/>
        <w:rPr>
          <w:sz w:val="14"/>
          <w:szCs w:val="14"/>
        </w:rPr>
      </w:pPr>
    </w:p>
    <w:p w:rsidR="00F50386" w:rsidRDefault="00F50386">
      <w:pPr>
        <w:pStyle w:val="BodyText"/>
        <w:numPr>
          <w:ilvl w:val="0"/>
          <w:numId w:val="13"/>
        </w:numPr>
        <w:tabs>
          <w:tab w:val="left" w:pos="1843"/>
        </w:tabs>
        <w:kinsoku w:val="0"/>
        <w:overflowPunct w:val="0"/>
        <w:ind w:left="1844"/>
      </w:pPr>
      <w:r>
        <w:t>Soumettre les données du fabricant sur le produit.</w:t>
      </w:r>
    </w:p>
    <w:p w:rsidR="00F50386" w:rsidRDefault="00F50386">
      <w:pPr>
        <w:kinsoku w:val="0"/>
        <w:overflowPunct w:val="0"/>
        <w:spacing w:line="240" w:lineRule="exact"/>
      </w:pPr>
    </w:p>
    <w:p w:rsidR="00F50386" w:rsidRDefault="00F50386">
      <w:pPr>
        <w:pStyle w:val="BodyText"/>
        <w:numPr>
          <w:ilvl w:val="0"/>
          <w:numId w:val="13"/>
        </w:numPr>
        <w:tabs>
          <w:tab w:val="left" w:pos="1843"/>
        </w:tabs>
        <w:kinsoku w:val="0"/>
        <w:overflowPunct w:val="0"/>
        <w:ind w:left="1844"/>
      </w:pPr>
      <w:r>
        <w:t>Soumettre les données du fabricant sur le produit et la résistance à une liste de produits chimiques.</w:t>
      </w:r>
    </w:p>
    <w:p w:rsidR="00F50386" w:rsidRDefault="00F50386">
      <w:pPr>
        <w:kinsoku w:val="0"/>
        <w:overflowPunct w:val="0"/>
        <w:spacing w:line="240" w:lineRule="exact"/>
      </w:pPr>
    </w:p>
    <w:p w:rsidR="00F50386" w:rsidRDefault="00F50386">
      <w:pPr>
        <w:pStyle w:val="BodyText"/>
        <w:numPr>
          <w:ilvl w:val="0"/>
          <w:numId w:val="12"/>
        </w:numPr>
        <w:tabs>
          <w:tab w:val="left" w:pos="1267"/>
        </w:tabs>
        <w:kinsoku w:val="0"/>
        <w:overflowPunct w:val="0"/>
        <w:ind w:left="1268" w:right="195"/>
        <w:jc w:val="both"/>
      </w:pPr>
      <w:r>
        <w:t>Dessins d’atelier : Soumettre les dessins d’atelier pour le travail de cet article conformément à l’article 01 30 00. Indiquer les plans, les sections, les dimensions, les tailles des composants, les détails des bordures, les exigences de thermodurcissement, les détails de fabrication, les dispositions quant aux fixations, la taille des fourrures, les semelles, y compris les entretoises dissimulées et les exigences de coordination avec les travaux adjacents. Indiquer l’emplacement et la taille des découpes et des trous nécessaires à l’installation d’appareils de plomberie, de robinets, de distributeurs de savon, de poubelles, etc. dans le revêtement massif.</w:t>
      </w:r>
    </w:p>
    <w:p w:rsidR="00F50386" w:rsidRDefault="00F50386">
      <w:pPr>
        <w:kinsoku w:val="0"/>
        <w:overflowPunct w:val="0"/>
        <w:spacing w:line="240" w:lineRule="exact"/>
      </w:pPr>
    </w:p>
    <w:p w:rsidR="00F50386" w:rsidRDefault="00F50386">
      <w:pPr>
        <w:pStyle w:val="BodyText"/>
        <w:numPr>
          <w:ilvl w:val="0"/>
          <w:numId w:val="12"/>
        </w:numPr>
        <w:tabs>
          <w:tab w:val="left" w:pos="1267"/>
        </w:tabs>
        <w:kinsoku w:val="0"/>
        <w:overflowPunct w:val="0"/>
        <w:ind w:left="1268" w:right="196"/>
        <w:jc w:val="both"/>
      </w:pPr>
      <w:r>
        <w:t>Dessins de coordination : Soumettre des dessins de coordination indiquant les divers travaux de plomberie et de composants en acier ainsi que l’emplacement de tous les murs (à indice de résistance au feu ou non), les exigences en matière de semelles et l’emplacement des éléments muraux encastrés et des articles similaires.</w:t>
      </w:r>
    </w:p>
    <w:p w:rsidR="00F50386" w:rsidRDefault="00F50386">
      <w:pPr>
        <w:kinsoku w:val="0"/>
        <w:overflowPunct w:val="0"/>
        <w:spacing w:line="240" w:lineRule="exact"/>
      </w:pPr>
    </w:p>
    <w:p w:rsidR="00F50386" w:rsidRDefault="00F50386">
      <w:pPr>
        <w:pStyle w:val="BodyText"/>
        <w:numPr>
          <w:ilvl w:val="0"/>
          <w:numId w:val="12"/>
        </w:numPr>
        <w:tabs>
          <w:tab w:val="left" w:pos="1267"/>
        </w:tabs>
        <w:kinsoku w:val="0"/>
        <w:overflowPunct w:val="0"/>
        <w:ind w:left="1268" w:right="194"/>
        <w:jc w:val="both"/>
      </w:pPr>
      <w:r>
        <w:t>Échantillons : Soumettre les échantillons conformément à l’article 01 30 00. Soumettre des échantillons d’une taille minimale de 102 mm x 102 mm (4 po x 4 po). Couper l’échantillon et joindre ensemble afin de faire la démonstration des joints discrets. Indiquer la gamme complète de couleur et la variation de motif. Les échantillons approuvés seront conservés à titre de norme de travail.</w:t>
      </w:r>
    </w:p>
    <w:p w:rsidR="00F50386" w:rsidRDefault="00F50386">
      <w:pPr>
        <w:kinsoku w:val="0"/>
        <w:overflowPunct w:val="0"/>
        <w:spacing w:line="240" w:lineRule="exact"/>
      </w:pPr>
    </w:p>
    <w:p w:rsidR="00F50386" w:rsidRDefault="00F50386">
      <w:pPr>
        <w:kinsoku w:val="0"/>
        <w:overflowPunct w:val="0"/>
        <w:ind w:left="188" w:right="196"/>
        <w:jc w:val="both"/>
      </w:pPr>
      <w:r>
        <w:rPr>
          <w:i/>
          <w:iCs/>
        </w:rPr>
        <w:t>REMARQUE : NSF/ANSI 51, zone alimentaire, zone d’éclaboussure et zone non alimentaire, application où des aliments peuvent être déposés. Supprimer ce qui suit si le projet ne concerne aucunement un contact alimentaire. Supprimer ce qui suit au sujet de l’inflammabilité si le projet ne compte aucune exigence en matière de résistance aux incendies.</w:t>
      </w:r>
    </w:p>
    <w:p w:rsidR="00F50386" w:rsidRDefault="00F50386">
      <w:pPr>
        <w:kinsoku w:val="0"/>
        <w:overflowPunct w:val="0"/>
        <w:spacing w:line="240" w:lineRule="exact"/>
      </w:pPr>
    </w:p>
    <w:p w:rsidR="00F50386" w:rsidRDefault="00F50386">
      <w:pPr>
        <w:pStyle w:val="BodyText"/>
        <w:numPr>
          <w:ilvl w:val="0"/>
          <w:numId w:val="12"/>
        </w:numPr>
        <w:tabs>
          <w:tab w:val="left" w:pos="1267"/>
        </w:tabs>
        <w:kinsoku w:val="0"/>
        <w:overflowPunct w:val="0"/>
        <w:ind w:left="1268" w:right="195"/>
        <w:jc w:val="both"/>
        <w:rPr>
          <w:color w:val="000000"/>
        </w:rPr>
      </w:pPr>
      <w:r>
        <w:t xml:space="preserve">Rapports de test et d’évaluation : Soumettre des rapports de test d’inflammabilité (ainsi que </w:t>
      </w:r>
      <w:r>
        <w:lastRenderedPageBreak/>
        <w:t xml:space="preserve">des certifications et listes de zones de préparation d’aliments attestant la conformité à la norme NSF/ANSI 51. Consulter le site </w:t>
      </w:r>
      <w:hyperlink r:id="rId14" w:history="1">
        <w:r>
          <w:rPr>
            <w:color w:val="0000FF"/>
            <w:u w:val="single"/>
          </w:rPr>
          <w:t xml:space="preserve">www.nsf.org </w:t>
        </w:r>
      </w:hyperlink>
      <w:r>
        <w:rPr>
          <w:color w:val="000000"/>
        </w:rPr>
        <w:t>pour connaître les plus récents critères de conformité de la norme NSF/ANSI 51 pour les zones alimentaires [tous les types d’aliments]).</w:t>
      </w:r>
    </w:p>
    <w:p w:rsidR="00F50386" w:rsidRDefault="00F50386">
      <w:pPr>
        <w:pStyle w:val="BodyText"/>
        <w:numPr>
          <w:ilvl w:val="0"/>
          <w:numId w:val="12"/>
        </w:numPr>
        <w:tabs>
          <w:tab w:val="left" w:pos="1267"/>
        </w:tabs>
        <w:kinsoku w:val="0"/>
        <w:overflowPunct w:val="0"/>
        <w:ind w:left="1268" w:right="195"/>
        <w:jc w:val="both"/>
        <w:rPr>
          <w:color w:val="000000"/>
        </w:rPr>
        <w:sectPr w:rsidR="00F50386">
          <w:pgSz w:w="12240" w:h="15840"/>
          <w:pgMar w:top="1520" w:right="1100" w:bottom="1000" w:left="820" w:header="743" w:footer="818" w:gutter="0"/>
          <w:cols w:space="720"/>
          <w:noEndnote/>
        </w:sectPr>
      </w:pPr>
    </w:p>
    <w:p w:rsidR="00F50386" w:rsidRDefault="00F50386">
      <w:pPr>
        <w:kinsoku w:val="0"/>
        <w:overflowPunct w:val="0"/>
        <w:spacing w:line="200" w:lineRule="exact"/>
        <w:rPr>
          <w:sz w:val="20"/>
          <w:szCs w:val="20"/>
        </w:rPr>
      </w:pPr>
    </w:p>
    <w:p w:rsidR="00F50386" w:rsidRDefault="00F50386">
      <w:pPr>
        <w:kinsoku w:val="0"/>
        <w:overflowPunct w:val="0"/>
        <w:spacing w:before="12" w:line="240" w:lineRule="exact"/>
      </w:pPr>
    </w:p>
    <w:p w:rsidR="00F50386" w:rsidRDefault="00F50386">
      <w:pPr>
        <w:pStyle w:val="BodyText"/>
        <w:numPr>
          <w:ilvl w:val="1"/>
          <w:numId w:val="11"/>
        </w:numPr>
        <w:tabs>
          <w:tab w:val="left" w:pos="1275"/>
        </w:tabs>
        <w:kinsoku w:val="0"/>
        <w:overflowPunct w:val="0"/>
        <w:spacing w:before="69"/>
        <w:ind w:left="1276"/>
      </w:pPr>
      <w:r>
        <w:t>SOUMISSIONS DÉFINITIVES</w:t>
      </w:r>
    </w:p>
    <w:p w:rsidR="00F50386" w:rsidRDefault="00F50386">
      <w:pPr>
        <w:kinsoku w:val="0"/>
        <w:overflowPunct w:val="0"/>
        <w:spacing w:line="240" w:lineRule="exact"/>
      </w:pPr>
    </w:p>
    <w:p w:rsidR="00F50386" w:rsidRDefault="00F50386">
      <w:pPr>
        <w:pStyle w:val="BodyText"/>
        <w:numPr>
          <w:ilvl w:val="2"/>
          <w:numId w:val="11"/>
        </w:numPr>
        <w:tabs>
          <w:tab w:val="left" w:pos="1275"/>
        </w:tabs>
        <w:kinsoku w:val="0"/>
        <w:overflowPunct w:val="0"/>
        <w:ind w:left="1276"/>
      </w:pPr>
      <w:r>
        <w:t>Données d’exploitation et d’entretien :</w:t>
      </w:r>
    </w:p>
    <w:p w:rsidR="00F50386" w:rsidRDefault="00F50386">
      <w:pPr>
        <w:kinsoku w:val="0"/>
        <w:overflowPunct w:val="0"/>
        <w:spacing w:line="240" w:lineRule="exact"/>
      </w:pPr>
    </w:p>
    <w:p w:rsidR="00F50386" w:rsidRDefault="00F50386">
      <w:pPr>
        <w:pStyle w:val="BodyText"/>
        <w:numPr>
          <w:ilvl w:val="3"/>
          <w:numId w:val="11"/>
        </w:numPr>
        <w:tabs>
          <w:tab w:val="left" w:pos="1851"/>
        </w:tabs>
        <w:kinsoku w:val="0"/>
        <w:overflowPunct w:val="0"/>
        <w:ind w:right="188"/>
        <w:jc w:val="both"/>
      </w:pPr>
      <w:r>
        <w:t>Soumettre les données sur l’entretien du fabricant, y compris les instructions pour le nettoyage.  Les inclure dans les documents définitifs du projet.</w:t>
      </w:r>
    </w:p>
    <w:p w:rsidR="00F50386" w:rsidRDefault="00F50386">
      <w:pPr>
        <w:kinsoku w:val="0"/>
        <w:overflowPunct w:val="0"/>
        <w:spacing w:line="240" w:lineRule="exact"/>
      </w:pPr>
    </w:p>
    <w:p w:rsidR="00F50386" w:rsidRDefault="00F50386">
      <w:pPr>
        <w:pStyle w:val="BodyText"/>
        <w:numPr>
          <w:ilvl w:val="3"/>
          <w:numId w:val="11"/>
        </w:numPr>
        <w:tabs>
          <w:tab w:val="left" w:pos="1851"/>
        </w:tabs>
        <w:kinsoku w:val="0"/>
        <w:overflowPunct w:val="0"/>
        <w:ind w:right="189"/>
        <w:jc w:val="both"/>
      </w:pPr>
      <w:r>
        <w:t>Fournir une trousse d’entretien. Passer en revue les procédures d’entretien et les détails de la garantie avec le propriétaire une fois les travaux terminés.</w:t>
      </w:r>
    </w:p>
    <w:p w:rsidR="00F50386" w:rsidRDefault="00F50386">
      <w:pPr>
        <w:kinsoku w:val="0"/>
        <w:overflowPunct w:val="0"/>
        <w:spacing w:line="240" w:lineRule="exact"/>
      </w:pPr>
    </w:p>
    <w:p w:rsidR="00F50386" w:rsidRDefault="00F50386">
      <w:pPr>
        <w:pStyle w:val="BodyText"/>
        <w:numPr>
          <w:ilvl w:val="1"/>
          <w:numId w:val="11"/>
        </w:numPr>
        <w:tabs>
          <w:tab w:val="left" w:pos="1275"/>
        </w:tabs>
        <w:kinsoku w:val="0"/>
        <w:overflowPunct w:val="0"/>
        <w:ind w:left="1276"/>
      </w:pPr>
      <w:r>
        <w:t>ASSURANCE DE LA QUALITÉ</w:t>
      </w:r>
    </w:p>
    <w:p w:rsidR="00F50386" w:rsidRDefault="00F50386">
      <w:pPr>
        <w:kinsoku w:val="0"/>
        <w:overflowPunct w:val="0"/>
        <w:spacing w:line="240" w:lineRule="exact"/>
      </w:pPr>
    </w:p>
    <w:p w:rsidR="00F50386" w:rsidRDefault="00F50386">
      <w:pPr>
        <w:pStyle w:val="BodyText"/>
        <w:numPr>
          <w:ilvl w:val="0"/>
          <w:numId w:val="10"/>
        </w:numPr>
        <w:tabs>
          <w:tab w:val="left" w:pos="1275"/>
        </w:tabs>
        <w:kinsoku w:val="0"/>
        <w:overflowPunct w:val="0"/>
        <w:ind w:left="1276"/>
      </w:pPr>
      <w:r>
        <w:t>Compétences :</w:t>
      </w:r>
    </w:p>
    <w:p w:rsidR="00F50386" w:rsidRDefault="00F50386">
      <w:pPr>
        <w:kinsoku w:val="0"/>
        <w:overflowPunct w:val="0"/>
        <w:spacing w:line="240" w:lineRule="exact"/>
      </w:pPr>
    </w:p>
    <w:p w:rsidR="00F50386" w:rsidRDefault="00F50386">
      <w:pPr>
        <w:pStyle w:val="BodyText"/>
        <w:tabs>
          <w:tab w:val="left" w:pos="1851"/>
        </w:tabs>
        <w:kinsoku w:val="0"/>
        <w:overflowPunct w:val="0"/>
        <w:ind w:right="188"/>
        <w:jc w:val="both"/>
      </w:pPr>
      <w:r>
        <w:t>.1</w:t>
      </w:r>
      <w:r>
        <w:tab/>
        <w:t>Installateurs : Faire exécuter les travaux du présent article par des installateurs compétents possédant au moins cinq ans d’expérience dans l’application des produits, des systèmes et des assemblages décrits et ayant obtenu l’approbation et une formation de la part des fabricants des produits.</w:t>
      </w:r>
    </w:p>
    <w:p w:rsidR="00F50386" w:rsidRDefault="00F50386">
      <w:pPr>
        <w:kinsoku w:val="0"/>
        <w:overflowPunct w:val="0"/>
        <w:spacing w:line="240" w:lineRule="exact"/>
      </w:pPr>
    </w:p>
    <w:p w:rsidR="00F50386" w:rsidRDefault="00F50386">
      <w:pPr>
        <w:pStyle w:val="BodyText"/>
        <w:numPr>
          <w:ilvl w:val="0"/>
          <w:numId w:val="10"/>
        </w:numPr>
        <w:tabs>
          <w:tab w:val="left" w:pos="1275"/>
        </w:tabs>
        <w:kinsoku w:val="0"/>
        <w:overflowPunct w:val="0"/>
        <w:ind w:left="1276"/>
      </w:pPr>
      <w:r>
        <w:t>Maquettes :</w:t>
      </w:r>
    </w:p>
    <w:p w:rsidR="00F50386" w:rsidRDefault="00F50386">
      <w:pPr>
        <w:kinsoku w:val="0"/>
        <w:overflowPunct w:val="0"/>
        <w:spacing w:line="240" w:lineRule="exact"/>
      </w:pPr>
    </w:p>
    <w:p w:rsidR="00F50386" w:rsidRDefault="00F50386">
      <w:pPr>
        <w:pStyle w:val="BodyText"/>
        <w:numPr>
          <w:ilvl w:val="1"/>
          <w:numId w:val="10"/>
        </w:numPr>
        <w:tabs>
          <w:tab w:val="left" w:pos="1851"/>
        </w:tabs>
        <w:kinsoku w:val="0"/>
        <w:overflowPunct w:val="0"/>
        <w:ind w:right="189"/>
        <w:jc w:val="both"/>
      </w:pPr>
      <w:r>
        <w:t>Avant l’approbation finale des dessins d’atelier, ériger une maquette en taille réelle de chaque composant à l’emplacement du projet, afin que le conseiller puisse procéder à une évaluation de la qualité des matériaux et de l’exécution.</w:t>
      </w:r>
    </w:p>
    <w:p w:rsidR="00F50386" w:rsidRDefault="00F50386">
      <w:pPr>
        <w:kinsoku w:val="0"/>
        <w:overflowPunct w:val="0"/>
        <w:spacing w:line="240" w:lineRule="exact"/>
      </w:pPr>
    </w:p>
    <w:p w:rsidR="00F50386" w:rsidRDefault="00F50386">
      <w:pPr>
        <w:pStyle w:val="BodyText"/>
        <w:numPr>
          <w:ilvl w:val="1"/>
          <w:numId w:val="10"/>
        </w:numPr>
        <w:tabs>
          <w:tab w:val="left" w:pos="1851"/>
        </w:tabs>
        <w:kinsoku w:val="0"/>
        <w:overflowPunct w:val="0"/>
      </w:pPr>
      <w:r>
        <w:t>Si la maquette n’est pas approuvée, la modifier ou la fabriquer de nouveau jusqu’à ce qu’elle soit approuvée.</w:t>
      </w:r>
    </w:p>
    <w:p w:rsidR="00F50386" w:rsidRDefault="00F50386">
      <w:pPr>
        <w:pStyle w:val="BodyText"/>
        <w:kinsoku w:val="0"/>
        <w:overflowPunct w:val="0"/>
        <w:ind w:firstLine="0"/>
      </w:pPr>
      <w:r>
        <w:t>Retirer les unités rejetées de l’emplacement du projet.</w:t>
      </w:r>
    </w:p>
    <w:p w:rsidR="00F50386" w:rsidRDefault="00F50386">
      <w:pPr>
        <w:kinsoku w:val="0"/>
        <w:overflowPunct w:val="0"/>
        <w:spacing w:line="240" w:lineRule="exact"/>
      </w:pPr>
    </w:p>
    <w:p w:rsidR="00F50386" w:rsidRDefault="00F50386">
      <w:pPr>
        <w:pStyle w:val="BodyText"/>
        <w:numPr>
          <w:ilvl w:val="1"/>
          <w:numId w:val="10"/>
        </w:numPr>
        <w:tabs>
          <w:tab w:val="left" w:pos="1851"/>
        </w:tabs>
        <w:kinsoku w:val="0"/>
        <w:overflowPunct w:val="0"/>
      </w:pPr>
      <w:r>
        <w:t>La maquette approuvée sera utilisée comme norme pour l’acceptation de travaux subséquents.</w:t>
      </w:r>
    </w:p>
    <w:p w:rsidR="00F50386" w:rsidRDefault="00F50386">
      <w:pPr>
        <w:kinsoku w:val="0"/>
        <w:overflowPunct w:val="0"/>
        <w:spacing w:line="240" w:lineRule="exact"/>
      </w:pPr>
    </w:p>
    <w:p w:rsidR="00F50386" w:rsidRDefault="00F50386">
      <w:pPr>
        <w:pStyle w:val="BodyText"/>
        <w:numPr>
          <w:ilvl w:val="1"/>
          <w:numId w:val="10"/>
        </w:numPr>
        <w:tabs>
          <w:tab w:val="left" w:pos="1851"/>
        </w:tabs>
        <w:kinsoku w:val="0"/>
        <w:overflowPunct w:val="0"/>
      </w:pPr>
      <w:r>
        <w:t>Les maquettes approuvées peuvent faire partie des travaux finaux.</w:t>
      </w:r>
    </w:p>
    <w:p w:rsidR="00F50386" w:rsidRDefault="00F50386">
      <w:pPr>
        <w:kinsoku w:val="0"/>
        <w:overflowPunct w:val="0"/>
        <w:spacing w:before="1" w:line="170" w:lineRule="exact"/>
        <w:rPr>
          <w:sz w:val="17"/>
          <w:szCs w:val="17"/>
        </w:rPr>
      </w:pPr>
    </w:p>
    <w:tbl>
      <w:tblPr>
        <w:tblW w:w="0" w:type="auto"/>
        <w:tblInd w:w="156" w:type="dxa"/>
        <w:tblLayout w:type="fixed"/>
        <w:tblCellMar>
          <w:left w:w="0" w:type="dxa"/>
          <w:right w:w="0" w:type="dxa"/>
        </w:tblCellMar>
        <w:tblLook w:val="0000" w:firstRow="0" w:lastRow="0" w:firstColumn="0" w:lastColumn="0" w:noHBand="0" w:noVBand="0"/>
      </w:tblPr>
      <w:tblGrid>
        <w:gridCol w:w="442"/>
        <w:gridCol w:w="480"/>
        <w:gridCol w:w="9091"/>
      </w:tblGrid>
      <w:tr w:rsidR="00F50386">
        <w:trPr>
          <w:trHeight w:hRule="exact" w:val="478"/>
        </w:trPr>
        <w:tc>
          <w:tcPr>
            <w:tcW w:w="442" w:type="dxa"/>
            <w:tcBorders>
              <w:top w:val="nil"/>
              <w:left w:val="nil"/>
              <w:bottom w:val="nil"/>
              <w:right w:val="nil"/>
            </w:tcBorders>
          </w:tcPr>
          <w:p w:rsidR="00F50386" w:rsidRDefault="00F50386">
            <w:pPr>
              <w:pStyle w:val="TableParagraph"/>
              <w:kinsoku w:val="0"/>
              <w:overflowPunct w:val="0"/>
              <w:spacing w:before="69"/>
              <w:ind w:left="40"/>
            </w:pPr>
            <w:r>
              <w:t>1.7</w:t>
            </w:r>
          </w:p>
        </w:tc>
        <w:tc>
          <w:tcPr>
            <w:tcW w:w="480" w:type="dxa"/>
            <w:tcBorders>
              <w:top w:val="nil"/>
              <w:left w:val="nil"/>
              <w:bottom w:val="nil"/>
              <w:right w:val="nil"/>
            </w:tcBorders>
          </w:tcPr>
          <w:p w:rsidR="00F50386" w:rsidRDefault="00F50386"/>
        </w:tc>
        <w:tc>
          <w:tcPr>
            <w:tcW w:w="9091" w:type="dxa"/>
            <w:tcBorders>
              <w:top w:val="nil"/>
              <w:left w:val="nil"/>
              <w:bottom w:val="nil"/>
              <w:right w:val="nil"/>
            </w:tcBorders>
          </w:tcPr>
          <w:p w:rsidR="00F50386" w:rsidRDefault="00F50386">
            <w:pPr>
              <w:pStyle w:val="TableParagraph"/>
              <w:kinsoku w:val="0"/>
              <w:overflowPunct w:val="0"/>
              <w:spacing w:before="69"/>
              <w:ind w:left="198"/>
            </w:pPr>
            <w:r>
              <w:t>LIVRAISON, STOCKAGE ET MANIPULATION</w:t>
            </w:r>
          </w:p>
        </w:tc>
      </w:tr>
      <w:tr w:rsidR="00F50386">
        <w:trPr>
          <w:trHeight w:hRule="exact" w:val="792"/>
        </w:trPr>
        <w:tc>
          <w:tcPr>
            <w:tcW w:w="442" w:type="dxa"/>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02"/>
            </w:pPr>
            <w:r>
              <w:t>.1</w:t>
            </w:r>
          </w:p>
        </w:tc>
        <w:tc>
          <w:tcPr>
            <w:tcW w:w="90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Exigences en matière de livraison et d’acceptation : Ne livrer aucun composant à l’emplacement du projet tant que celui-ci n’est pas prêt pour l’installation.</w:t>
            </w:r>
          </w:p>
        </w:tc>
      </w:tr>
      <w:tr w:rsidR="00F50386">
        <w:trPr>
          <w:trHeight w:hRule="exact" w:val="478"/>
        </w:trPr>
        <w:tc>
          <w:tcPr>
            <w:tcW w:w="442" w:type="dxa"/>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02"/>
            </w:pPr>
            <w:r>
              <w:t>.2</w:t>
            </w:r>
          </w:p>
        </w:tc>
        <w:tc>
          <w:tcPr>
            <w:tcW w:w="9091"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Exigences en matière d’entreposage et de manutention :</w:t>
            </w:r>
          </w:p>
        </w:tc>
      </w:tr>
    </w:tbl>
    <w:p w:rsidR="00F50386" w:rsidRDefault="00F50386">
      <w:pPr>
        <w:kinsoku w:val="0"/>
        <w:overflowPunct w:val="0"/>
        <w:spacing w:before="5" w:line="140" w:lineRule="exact"/>
        <w:rPr>
          <w:sz w:val="14"/>
          <w:szCs w:val="14"/>
        </w:rPr>
      </w:pPr>
    </w:p>
    <w:p w:rsidR="00F50386" w:rsidRDefault="00F50386">
      <w:pPr>
        <w:pStyle w:val="BodyText"/>
        <w:numPr>
          <w:ilvl w:val="0"/>
          <w:numId w:val="9"/>
        </w:numPr>
        <w:tabs>
          <w:tab w:val="left" w:pos="1851"/>
        </w:tabs>
        <w:kinsoku w:val="0"/>
        <w:overflowPunct w:val="0"/>
      </w:pPr>
      <w:r>
        <w:t>Stocker les composants à l’intérieur avant l’installation.</w:t>
      </w:r>
    </w:p>
    <w:p w:rsidR="00F50386" w:rsidRDefault="00F50386">
      <w:pPr>
        <w:kinsoku w:val="0"/>
        <w:overflowPunct w:val="0"/>
        <w:spacing w:line="240" w:lineRule="exact"/>
      </w:pPr>
    </w:p>
    <w:p w:rsidR="00F50386" w:rsidRDefault="00F50386">
      <w:pPr>
        <w:pStyle w:val="BodyText"/>
        <w:numPr>
          <w:ilvl w:val="0"/>
          <w:numId w:val="9"/>
        </w:numPr>
        <w:tabs>
          <w:tab w:val="left" w:pos="1851"/>
        </w:tabs>
        <w:kinsoku w:val="0"/>
        <w:overflowPunct w:val="0"/>
      </w:pPr>
      <w:r>
        <w:t>Manipuler les matériaux de manière à éviter d’endommager les surfaces finies.</w:t>
      </w:r>
    </w:p>
    <w:p w:rsidR="00F50386" w:rsidRDefault="00F50386">
      <w:pPr>
        <w:kinsoku w:val="0"/>
        <w:overflowPunct w:val="0"/>
        <w:spacing w:before="1" w:line="170" w:lineRule="exact"/>
        <w:rPr>
          <w:sz w:val="17"/>
          <w:szCs w:val="17"/>
        </w:rPr>
      </w:pPr>
    </w:p>
    <w:tbl>
      <w:tblPr>
        <w:tblW w:w="0" w:type="auto"/>
        <w:tblInd w:w="156" w:type="dxa"/>
        <w:tblLayout w:type="fixed"/>
        <w:tblCellMar>
          <w:left w:w="0" w:type="dxa"/>
          <w:right w:w="0" w:type="dxa"/>
        </w:tblCellMar>
        <w:tblLook w:val="0000" w:firstRow="0" w:lastRow="0" w:firstColumn="0" w:lastColumn="0" w:noHBand="0" w:noVBand="0"/>
      </w:tblPr>
      <w:tblGrid>
        <w:gridCol w:w="442"/>
        <w:gridCol w:w="480"/>
        <w:gridCol w:w="9094"/>
      </w:tblGrid>
      <w:tr w:rsidR="00F50386">
        <w:trPr>
          <w:trHeight w:hRule="exact" w:val="478"/>
        </w:trPr>
        <w:tc>
          <w:tcPr>
            <w:tcW w:w="442" w:type="dxa"/>
            <w:tcBorders>
              <w:top w:val="nil"/>
              <w:left w:val="nil"/>
              <w:bottom w:val="nil"/>
              <w:right w:val="nil"/>
            </w:tcBorders>
          </w:tcPr>
          <w:p w:rsidR="00F50386" w:rsidRDefault="00F50386">
            <w:pPr>
              <w:pStyle w:val="TableParagraph"/>
              <w:kinsoku w:val="0"/>
              <w:overflowPunct w:val="0"/>
              <w:spacing w:before="69"/>
              <w:ind w:left="40"/>
            </w:pPr>
            <w:r>
              <w:t>1.8</w:t>
            </w:r>
          </w:p>
        </w:tc>
        <w:tc>
          <w:tcPr>
            <w:tcW w:w="480" w:type="dxa"/>
            <w:tcBorders>
              <w:top w:val="nil"/>
              <w:left w:val="nil"/>
              <w:bottom w:val="nil"/>
              <w:right w:val="nil"/>
            </w:tcBorders>
          </w:tcPr>
          <w:p w:rsidR="00F50386" w:rsidRDefault="00F50386"/>
        </w:tc>
        <w:tc>
          <w:tcPr>
            <w:tcW w:w="9094" w:type="dxa"/>
            <w:tcBorders>
              <w:top w:val="nil"/>
              <w:left w:val="nil"/>
              <w:bottom w:val="nil"/>
              <w:right w:val="nil"/>
            </w:tcBorders>
          </w:tcPr>
          <w:p w:rsidR="00F50386" w:rsidRDefault="00F50386">
            <w:pPr>
              <w:pStyle w:val="TableParagraph"/>
              <w:kinsoku w:val="0"/>
              <w:overflowPunct w:val="0"/>
              <w:spacing w:before="69"/>
              <w:ind w:left="198"/>
            </w:pPr>
            <w:r>
              <w:t>GARANTIE</w:t>
            </w:r>
          </w:p>
        </w:tc>
      </w:tr>
      <w:tr w:rsidR="00F50386">
        <w:trPr>
          <w:trHeight w:hRule="exact" w:val="1306"/>
        </w:trPr>
        <w:tc>
          <w:tcPr>
            <w:tcW w:w="442" w:type="dxa"/>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02"/>
            </w:pPr>
            <w:r>
              <w:t>.1</w:t>
            </w:r>
          </w:p>
        </w:tc>
        <w:tc>
          <w:tcPr>
            <w:tcW w:w="909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right="40"/>
              <w:jc w:val="both"/>
            </w:pPr>
            <w:r>
              <w:t>Garantie du fabricant : Fournir la garantie standard du fournisseur sur le matériel uniquement pour 10 ans et pour les défauts et les failles conformément aux modalités générales du contrat. Corriger rapidement tout défaut ou toute faille qui se produit lors de la période de garantie, à la satisfaction du conseiller et sans frais pour le propriétaire.</w:t>
            </w:r>
          </w:p>
        </w:tc>
      </w:tr>
    </w:tbl>
    <w:p w:rsidR="00F50386" w:rsidRDefault="00F50386">
      <w:pPr>
        <w:sectPr w:rsidR="00F50386">
          <w:pgSz w:w="12240" w:h="15840"/>
          <w:pgMar w:top="1520" w:right="820" w:bottom="1000" w:left="1100" w:header="743" w:footer="818" w:gutter="0"/>
          <w:cols w:space="720"/>
          <w:noEndnote/>
        </w:sectPr>
      </w:pPr>
    </w:p>
    <w:p w:rsidR="00F50386" w:rsidRDefault="00F50386">
      <w:pPr>
        <w:kinsoku w:val="0"/>
        <w:overflowPunct w:val="0"/>
        <w:spacing w:line="200" w:lineRule="exact"/>
        <w:rPr>
          <w:sz w:val="20"/>
          <w:szCs w:val="20"/>
        </w:rPr>
      </w:pPr>
    </w:p>
    <w:p w:rsidR="00F50386" w:rsidRDefault="00F50386">
      <w:pPr>
        <w:kinsoku w:val="0"/>
        <w:overflowPunct w:val="0"/>
        <w:spacing w:line="200" w:lineRule="exact"/>
        <w:rPr>
          <w:sz w:val="20"/>
          <w:szCs w:val="20"/>
        </w:rPr>
      </w:pPr>
    </w:p>
    <w:p w:rsidR="00F50386" w:rsidRDefault="00F50386">
      <w:pPr>
        <w:kinsoku w:val="0"/>
        <w:overflowPunct w:val="0"/>
        <w:spacing w:before="12" w:line="280" w:lineRule="exact"/>
        <w:rPr>
          <w:sz w:val="28"/>
          <w:szCs w:val="28"/>
        </w:rPr>
      </w:pPr>
    </w:p>
    <w:tbl>
      <w:tblPr>
        <w:tblW w:w="0" w:type="auto"/>
        <w:tblInd w:w="148" w:type="dxa"/>
        <w:tblLayout w:type="fixed"/>
        <w:tblCellMar>
          <w:left w:w="0" w:type="dxa"/>
          <w:right w:w="0" w:type="dxa"/>
        </w:tblCellMar>
        <w:tblLook w:val="0000" w:firstRow="0" w:lastRow="0" w:firstColumn="0" w:lastColumn="0" w:noHBand="0" w:noVBand="0"/>
      </w:tblPr>
      <w:tblGrid>
        <w:gridCol w:w="442"/>
        <w:gridCol w:w="480"/>
        <w:gridCol w:w="9094"/>
      </w:tblGrid>
      <w:tr w:rsidR="00F50386">
        <w:trPr>
          <w:trHeight w:hRule="exact" w:val="478"/>
        </w:trPr>
        <w:tc>
          <w:tcPr>
            <w:tcW w:w="442" w:type="dxa"/>
            <w:tcBorders>
              <w:top w:val="nil"/>
              <w:left w:val="nil"/>
              <w:bottom w:val="nil"/>
              <w:right w:val="nil"/>
            </w:tcBorders>
          </w:tcPr>
          <w:p w:rsidR="00F50386" w:rsidRDefault="00F50386">
            <w:pPr>
              <w:pStyle w:val="TableParagraph"/>
              <w:kinsoku w:val="0"/>
              <w:overflowPunct w:val="0"/>
              <w:spacing w:before="69"/>
              <w:ind w:left="40"/>
            </w:pPr>
            <w:r>
              <w:t>2</w:t>
            </w:r>
          </w:p>
        </w:tc>
        <w:tc>
          <w:tcPr>
            <w:tcW w:w="480" w:type="dxa"/>
            <w:tcBorders>
              <w:top w:val="nil"/>
              <w:left w:val="nil"/>
              <w:bottom w:val="nil"/>
              <w:right w:val="nil"/>
            </w:tcBorders>
          </w:tcPr>
          <w:p w:rsidR="00F50386" w:rsidRDefault="00F50386"/>
        </w:tc>
        <w:tc>
          <w:tcPr>
            <w:tcW w:w="9094" w:type="dxa"/>
            <w:tcBorders>
              <w:top w:val="nil"/>
              <w:left w:val="nil"/>
              <w:bottom w:val="nil"/>
              <w:right w:val="nil"/>
            </w:tcBorders>
          </w:tcPr>
          <w:p w:rsidR="00F50386" w:rsidRDefault="00F50386">
            <w:pPr>
              <w:pStyle w:val="TableParagraph"/>
              <w:kinsoku w:val="0"/>
              <w:overflowPunct w:val="0"/>
              <w:spacing w:before="69"/>
              <w:ind w:left="198"/>
            </w:pPr>
            <w:r>
              <w:t>Produits</w:t>
            </w:r>
          </w:p>
        </w:tc>
      </w:tr>
      <w:tr w:rsidR="00F50386">
        <w:trPr>
          <w:trHeight w:hRule="exact" w:val="516"/>
        </w:trPr>
        <w:tc>
          <w:tcPr>
            <w:tcW w:w="44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2.1</w:t>
            </w:r>
          </w:p>
        </w:tc>
        <w:tc>
          <w:tcPr>
            <w:tcW w:w="480" w:type="dxa"/>
            <w:tcBorders>
              <w:top w:val="nil"/>
              <w:left w:val="nil"/>
              <w:bottom w:val="nil"/>
              <w:right w:val="nil"/>
            </w:tcBorders>
          </w:tcPr>
          <w:p w:rsidR="00F50386" w:rsidRDefault="00F50386"/>
        </w:tc>
        <w:tc>
          <w:tcPr>
            <w:tcW w:w="909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FABRICANTS</w:t>
            </w:r>
          </w:p>
        </w:tc>
      </w:tr>
      <w:tr w:rsidR="00F50386">
        <w:trPr>
          <w:trHeight w:hRule="exact" w:val="754"/>
        </w:trPr>
        <w:tc>
          <w:tcPr>
            <w:tcW w:w="442" w:type="dxa"/>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02"/>
            </w:pPr>
            <w:r>
              <w:t>.1</w:t>
            </w:r>
          </w:p>
        </w:tc>
        <w:tc>
          <w:tcPr>
            <w:tcW w:w="909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Liste des fabricants :  Les produits offerts par les fabricants suivants sont acceptables, sous réserve de conformité aux exigences des dessins, des échéanciers et des spécifications :</w:t>
            </w:r>
          </w:p>
        </w:tc>
      </w:tr>
    </w:tbl>
    <w:p w:rsidR="00F50386" w:rsidRDefault="00F50386">
      <w:pPr>
        <w:kinsoku w:val="0"/>
        <w:overflowPunct w:val="0"/>
        <w:spacing w:before="10" w:line="100" w:lineRule="exact"/>
        <w:rPr>
          <w:sz w:val="10"/>
          <w:szCs w:val="10"/>
        </w:rPr>
      </w:pPr>
    </w:p>
    <w:p w:rsidR="00F50386" w:rsidRDefault="00F50386">
      <w:pPr>
        <w:pStyle w:val="BodyText"/>
        <w:numPr>
          <w:ilvl w:val="0"/>
          <w:numId w:val="8"/>
        </w:numPr>
        <w:tabs>
          <w:tab w:val="left" w:pos="1843"/>
        </w:tabs>
        <w:kinsoku w:val="0"/>
        <w:overflowPunct w:val="0"/>
        <w:ind w:left="1844"/>
        <w:rPr>
          <w:color w:val="000000"/>
        </w:rPr>
      </w:pPr>
      <w:r>
        <w:t>Zodiaq</w:t>
      </w:r>
      <w:r>
        <w:rPr>
          <w:sz w:val="16"/>
          <w:szCs w:val="16"/>
        </w:rPr>
        <w:t xml:space="preserve">md </w:t>
      </w:r>
      <w:r>
        <w:t xml:space="preserve">par DuPont; </w:t>
      </w:r>
      <w:hyperlink r:id="rId15" w:history="1">
        <w:r>
          <w:rPr>
            <w:color w:val="0000FF"/>
            <w:u w:val="single"/>
          </w:rPr>
          <w:t>www.zodiaq.com</w:t>
        </w:r>
      </w:hyperlink>
    </w:p>
    <w:p w:rsidR="00F50386" w:rsidRDefault="00F50386">
      <w:pPr>
        <w:kinsoku w:val="0"/>
        <w:overflowPunct w:val="0"/>
        <w:spacing w:before="1" w:line="170" w:lineRule="exact"/>
        <w:rPr>
          <w:sz w:val="17"/>
          <w:szCs w:val="17"/>
        </w:rPr>
      </w:pPr>
    </w:p>
    <w:p w:rsidR="00F50386" w:rsidRDefault="00F50386">
      <w:pPr>
        <w:pStyle w:val="BodyText"/>
        <w:numPr>
          <w:ilvl w:val="0"/>
          <w:numId w:val="8"/>
        </w:numPr>
        <w:tabs>
          <w:tab w:val="left" w:pos="1843"/>
        </w:tabs>
        <w:kinsoku w:val="0"/>
        <w:overflowPunct w:val="0"/>
        <w:spacing w:before="69"/>
        <w:ind w:left="1844"/>
        <w:rPr>
          <w:color w:val="000000"/>
        </w:rPr>
      </w:pPr>
      <w:r>
        <w:t xml:space="preserve">Silestone Quartz; </w:t>
      </w:r>
      <w:hyperlink r:id="rId16" w:history="1">
        <w:r>
          <w:rPr>
            <w:color w:val="0000FF"/>
            <w:u w:val="single"/>
          </w:rPr>
          <w:t>www.silestone.com</w:t>
        </w:r>
      </w:hyperlink>
    </w:p>
    <w:p w:rsidR="00F50386" w:rsidRDefault="00F50386">
      <w:pPr>
        <w:kinsoku w:val="0"/>
        <w:overflowPunct w:val="0"/>
        <w:spacing w:before="1" w:line="170" w:lineRule="exact"/>
        <w:rPr>
          <w:sz w:val="17"/>
          <w:szCs w:val="17"/>
        </w:rPr>
      </w:pPr>
    </w:p>
    <w:tbl>
      <w:tblPr>
        <w:tblW w:w="0" w:type="auto"/>
        <w:tblInd w:w="148" w:type="dxa"/>
        <w:tblLayout w:type="fixed"/>
        <w:tblCellMar>
          <w:left w:w="0" w:type="dxa"/>
          <w:right w:w="0" w:type="dxa"/>
        </w:tblCellMar>
        <w:tblLook w:val="0000" w:firstRow="0" w:lastRow="0" w:firstColumn="0" w:lastColumn="0" w:noHBand="0" w:noVBand="0"/>
      </w:tblPr>
      <w:tblGrid>
        <w:gridCol w:w="442"/>
        <w:gridCol w:w="480"/>
        <w:gridCol w:w="9093"/>
      </w:tblGrid>
      <w:tr w:rsidR="00F50386">
        <w:trPr>
          <w:trHeight w:hRule="exact" w:val="358"/>
        </w:trPr>
        <w:tc>
          <w:tcPr>
            <w:tcW w:w="442" w:type="dxa"/>
            <w:vMerge w:val="restart"/>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pPr>
              <w:pStyle w:val="TableParagraph"/>
              <w:kinsoku w:val="0"/>
              <w:overflowPunct w:val="0"/>
              <w:spacing w:before="69"/>
              <w:ind w:left="102"/>
            </w:pPr>
            <w:r>
              <w:t>.2</w:t>
            </w:r>
          </w:p>
        </w:tc>
        <w:tc>
          <w:tcPr>
            <w:tcW w:w="9093" w:type="dxa"/>
            <w:tcBorders>
              <w:top w:val="nil"/>
              <w:left w:val="nil"/>
              <w:bottom w:val="nil"/>
              <w:right w:val="nil"/>
            </w:tcBorders>
          </w:tcPr>
          <w:p w:rsidR="00F50386" w:rsidRDefault="00F50386">
            <w:pPr>
              <w:pStyle w:val="TableParagraph"/>
              <w:kinsoku w:val="0"/>
              <w:overflowPunct w:val="0"/>
              <w:spacing w:before="69"/>
              <w:ind w:left="198"/>
            </w:pPr>
            <w:r>
              <w:t>Restrictions de substitution : Cette spécification s’appuie sur les produits DuPont. Les produits comparables</w:t>
            </w:r>
          </w:p>
        </w:tc>
      </w:tr>
      <w:tr w:rsidR="00F50386">
        <w:trPr>
          <w:trHeight w:hRule="exact" w:val="276"/>
        </w:trPr>
        <w:tc>
          <w:tcPr>
            <w:tcW w:w="442" w:type="dxa"/>
            <w:vMerge/>
            <w:tcBorders>
              <w:top w:val="nil"/>
              <w:left w:val="nil"/>
              <w:bottom w:val="nil"/>
              <w:right w:val="nil"/>
            </w:tcBorders>
          </w:tcPr>
          <w:p w:rsidR="00F50386" w:rsidRDefault="00F50386">
            <w:pPr>
              <w:pStyle w:val="TableParagraph"/>
              <w:kinsoku w:val="0"/>
              <w:overflowPunct w:val="0"/>
              <w:spacing w:before="69"/>
              <w:ind w:left="198"/>
            </w:pPr>
          </w:p>
        </w:tc>
        <w:tc>
          <w:tcPr>
            <w:tcW w:w="480" w:type="dxa"/>
            <w:tcBorders>
              <w:top w:val="nil"/>
              <w:left w:val="nil"/>
              <w:bottom w:val="nil"/>
              <w:right w:val="nil"/>
            </w:tcBorders>
          </w:tcPr>
          <w:p w:rsidR="00F50386" w:rsidRDefault="00F50386"/>
        </w:tc>
        <w:tc>
          <w:tcPr>
            <w:tcW w:w="9093" w:type="dxa"/>
            <w:tcBorders>
              <w:top w:val="nil"/>
              <w:left w:val="nil"/>
              <w:bottom w:val="nil"/>
              <w:right w:val="nil"/>
            </w:tcBorders>
          </w:tcPr>
          <w:p w:rsidR="00F50386" w:rsidRDefault="00F50386">
            <w:pPr>
              <w:pStyle w:val="TableParagraph"/>
              <w:kinsoku w:val="0"/>
              <w:overflowPunct w:val="0"/>
              <w:spacing w:line="263" w:lineRule="exact"/>
              <w:ind w:left="198"/>
            </w:pPr>
            <w:r>
              <w:t>offerts par les fabricants indiqués aux présentes seront acceptés s’ils sont conformes</w:t>
            </w:r>
          </w:p>
        </w:tc>
      </w:tr>
      <w:tr w:rsidR="00F50386">
        <w:trPr>
          <w:trHeight w:hRule="exact" w:val="912"/>
        </w:trPr>
        <w:tc>
          <w:tcPr>
            <w:tcW w:w="442" w:type="dxa"/>
            <w:tcBorders>
              <w:top w:val="nil"/>
              <w:left w:val="nil"/>
              <w:bottom w:val="nil"/>
              <w:right w:val="nil"/>
            </w:tcBorders>
          </w:tcPr>
          <w:p w:rsidR="00F50386" w:rsidRDefault="00F50386">
            <w:pPr>
              <w:pStyle w:val="TableParagraph"/>
              <w:kinsoku w:val="0"/>
              <w:overflowPunct w:val="0"/>
              <w:spacing w:before="3" w:line="100" w:lineRule="exact"/>
              <w:rPr>
                <w:sz w:val="10"/>
                <w:szCs w:val="10"/>
              </w:rPr>
            </w:pPr>
          </w:p>
          <w:p w:rsidR="00F50386" w:rsidRDefault="00F50386">
            <w:pPr>
              <w:pStyle w:val="TableParagraph"/>
              <w:kinsoku w:val="0"/>
              <w:overflowPunct w:val="0"/>
              <w:spacing w:line="200" w:lineRule="exact"/>
              <w:rPr>
                <w:sz w:val="20"/>
                <w:szCs w:val="20"/>
              </w:rPr>
            </w:pPr>
          </w:p>
          <w:p w:rsidR="00F50386" w:rsidRDefault="00F50386">
            <w:pPr>
              <w:pStyle w:val="TableParagraph"/>
              <w:kinsoku w:val="0"/>
              <w:overflowPunct w:val="0"/>
              <w:spacing w:line="200" w:lineRule="exact"/>
              <w:rPr>
                <w:sz w:val="20"/>
                <w:szCs w:val="20"/>
              </w:rPr>
            </w:pPr>
          </w:p>
          <w:p w:rsidR="00F50386" w:rsidRDefault="00F50386">
            <w:pPr>
              <w:pStyle w:val="TableParagraph"/>
              <w:kinsoku w:val="0"/>
              <w:overflowPunct w:val="0"/>
              <w:ind w:left="40"/>
            </w:pPr>
            <w:r>
              <w:t>2.2</w:t>
            </w:r>
          </w:p>
        </w:tc>
        <w:tc>
          <w:tcPr>
            <w:tcW w:w="480" w:type="dxa"/>
            <w:tcBorders>
              <w:top w:val="nil"/>
              <w:left w:val="nil"/>
              <w:bottom w:val="nil"/>
              <w:right w:val="nil"/>
            </w:tcBorders>
          </w:tcPr>
          <w:p w:rsidR="00F50386" w:rsidRDefault="00F50386"/>
        </w:tc>
        <w:tc>
          <w:tcPr>
            <w:tcW w:w="9093" w:type="dxa"/>
            <w:tcBorders>
              <w:top w:val="nil"/>
              <w:left w:val="nil"/>
              <w:bottom w:val="nil"/>
              <w:right w:val="nil"/>
            </w:tcBorders>
          </w:tcPr>
          <w:p w:rsidR="00F50386" w:rsidRDefault="00F50386">
            <w:pPr>
              <w:pStyle w:val="TableParagraph"/>
              <w:kinsoku w:val="0"/>
              <w:overflowPunct w:val="0"/>
              <w:spacing w:line="263" w:lineRule="exact"/>
              <w:ind w:left="198"/>
            </w:pPr>
            <w:r>
              <w:t>aux exigences de la présente spécification.</w:t>
            </w:r>
          </w:p>
          <w:p w:rsidR="00F50386" w:rsidRDefault="00F50386">
            <w:pPr>
              <w:pStyle w:val="TableParagraph"/>
              <w:kinsoku w:val="0"/>
              <w:overflowPunct w:val="0"/>
              <w:spacing w:line="240" w:lineRule="exact"/>
            </w:pPr>
          </w:p>
          <w:p w:rsidR="00F50386" w:rsidRDefault="00F50386">
            <w:pPr>
              <w:pStyle w:val="TableParagraph"/>
              <w:kinsoku w:val="0"/>
              <w:overflowPunct w:val="0"/>
              <w:ind w:left="198"/>
            </w:pPr>
            <w:r>
              <w:t>MATÉRIAUX</w:t>
            </w:r>
          </w:p>
        </w:tc>
      </w:tr>
      <w:tr w:rsidR="00F50386">
        <w:trPr>
          <w:trHeight w:hRule="exact" w:val="478"/>
        </w:trPr>
        <w:tc>
          <w:tcPr>
            <w:tcW w:w="442" w:type="dxa"/>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02"/>
            </w:pPr>
            <w:r>
              <w:t>.1</w:t>
            </w:r>
          </w:p>
        </w:tc>
        <w:tc>
          <w:tcPr>
            <w:tcW w:w="9093"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Description :</w:t>
            </w:r>
          </w:p>
        </w:tc>
      </w:tr>
    </w:tbl>
    <w:p w:rsidR="00F50386" w:rsidRDefault="00F50386">
      <w:pPr>
        <w:kinsoku w:val="0"/>
        <w:overflowPunct w:val="0"/>
        <w:spacing w:before="10" w:line="100" w:lineRule="exact"/>
        <w:rPr>
          <w:sz w:val="10"/>
          <w:szCs w:val="10"/>
        </w:rPr>
      </w:pPr>
    </w:p>
    <w:p w:rsidR="00F50386" w:rsidRDefault="00F50386">
      <w:pPr>
        <w:pStyle w:val="BodyText"/>
        <w:numPr>
          <w:ilvl w:val="0"/>
          <w:numId w:val="7"/>
        </w:numPr>
        <w:tabs>
          <w:tab w:val="left" w:pos="1843"/>
          <w:tab w:val="left" w:pos="3401"/>
          <w:tab w:val="left" w:pos="5136"/>
          <w:tab w:val="left" w:pos="6123"/>
          <w:tab w:val="left" w:pos="7203"/>
          <w:tab w:val="left" w:pos="8215"/>
          <w:tab w:val="left" w:pos="9391"/>
        </w:tabs>
        <w:kinsoku w:val="0"/>
        <w:overflowPunct w:val="0"/>
        <w:ind w:left="1844" w:right="198"/>
      </w:pPr>
      <w:r>
        <w:t>Développement durable</w:t>
      </w:r>
      <w:r>
        <w:tab/>
        <w:t>Caractéristiques :</w:t>
      </w:r>
      <w:r>
        <w:tab/>
        <w:t>Fournir</w:t>
      </w:r>
      <w:r>
        <w:tab/>
        <w:t>des produits</w:t>
      </w:r>
      <w:r>
        <w:tab/>
        <w:t>respectant</w:t>
      </w:r>
      <w:r>
        <w:tab/>
        <w:t>les critères de rendement</w:t>
      </w:r>
      <w:r>
        <w:tab/>
        <w:t>LEED</w:t>
      </w:r>
      <w:r>
        <w:rPr>
          <w:sz w:val="16"/>
          <w:szCs w:val="16"/>
        </w:rPr>
        <w:t xml:space="preserve">® </w:t>
      </w:r>
      <w:r>
        <w:t>suivants :</w:t>
      </w:r>
    </w:p>
    <w:p w:rsidR="00F50386" w:rsidRDefault="00F50386">
      <w:pPr>
        <w:kinsoku w:val="0"/>
        <w:overflowPunct w:val="0"/>
        <w:spacing w:before="5" w:line="200" w:lineRule="exact"/>
        <w:rPr>
          <w:sz w:val="20"/>
          <w:szCs w:val="20"/>
        </w:rPr>
      </w:pPr>
    </w:p>
    <w:p w:rsidR="00F50386" w:rsidRDefault="00F50386">
      <w:pPr>
        <w:kinsoku w:val="0"/>
        <w:overflowPunct w:val="0"/>
        <w:ind w:left="188" w:right="194"/>
        <w:jc w:val="both"/>
      </w:pPr>
      <w:r>
        <w:rPr>
          <w:i/>
          <w:iCs/>
        </w:rPr>
        <w:t>REMARQUE : Utiliser ce qui suit relativement au crédit MR 4 LEED</w:t>
      </w:r>
      <w:r>
        <w:rPr>
          <w:i/>
          <w:iCs/>
          <w:sz w:val="16"/>
          <w:szCs w:val="16"/>
        </w:rPr>
        <w:t>®</w:t>
      </w:r>
      <w:r>
        <w:rPr>
          <w:i/>
          <w:iCs/>
        </w:rPr>
        <w:t>. Il pourrait être nécessaire de séparer le paragraphe suivant en deux parties, car les différents produits présentés dans un article en particulier possèdent des taux de matières recyclées différents (c.-à-d. à l’article 09 21 16, 40 % pour la plaque de plâtre et 25 % pour l’acier). Modifier cette partie en conséquence.</w:t>
      </w:r>
    </w:p>
    <w:p w:rsidR="00F50386" w:rsidRDefault="00F50386">
      <w:pPr>
        <w:kinsoku w:val="0"/>
        <w:overflowPunct w:val="0"/>
        <w:spacing w:line="240" w:lineRule="exact"/>
      </w:pPr>
    </w:p>
    <w:p w:rsidR="00F50386" w:rsidRDefault="00F50386">
      <w:pPr>
        <w:pStyle w:val="BodyText"/>
        <w:numPr>
          <w:ilvl w:val="1"/>
          <w:numId w:val="7"/>
        </w:numPr>
        <w:tabs>
          <w:tab w:val="left" w:pos="2347"/>
        </w:tabs>
        <w:kinsoku w:val="0"/>
        <w:overflowPunct w:val="0"/>
        <w:ind w:left="2348" w:right="192"/>
        <w:jc w:val="both"/>
      </w:pPr>
      <w:r>
        <w:t>MRc4 : Fournir le produit avec un contenu minimum combiné de matières recyclées préconsommation et postconsommation de [xx%].</w:t>
      </w:r>
    </w:p>
    <w:p w:rsidR="00F50386" w:rsidRDefault="00F50386">
      <w:pPr>
        <w:kinsoku w:val="0"/>
        <w:overflowPunct w:val="0"/>
        <w:spacing w:before="3" w:line="240" w:lineRule="exact"/>
      </w:pPr>
    </w:p>
    <w:p w:rsidR="00F50386" w:rsidRDefault="00F50386">
      <w:pPr>
        <w:kinsoku w:val="0"/>
        <w:overflowPunct w:val="0"/>
        <w:spacing w:line="276" w:lineRule="exact"/>
        <w:ind w:left="188" w:right="196"/>
        <w:jc w:val="both"/>
      </w:pPr>
      <w:r>
        <w:rPr>
          <w:i/>
          <w:iCs/>
        </w:rPr>
        <w:t>REMARQUE : Utiliser le paragraphe suivant si la quantité de matières recyclées est inconnue, mais désirée pour l’obtention d’un crédit LEED</w:t>
      </w:r>
      <w:r>
        <w:rPr>
          <w:i/>
          <w:iCs/>
          <w:sz w:val="16"/>
          <w:szCs w:val="16"/>
        </w:rPr>
        <w:t>®</w:t>
      </w:r>
      <w:r>
        <w:rPr>
          <w:i/>
          <w:iCs/>
        </w:rPr>
        <w:t>.</w:t>
      </w:r>
    </w:p>
    <w:p w:rsidR="00F50386" w:rsidRDefault="00F50386">
      <w:pPr>
        <w:kinsoku w:val="0"/>
        <w:overflowPunct w:val="0"/>
        <w:spacing w:before="17" w:line="220" w:lineRule="exact"/>
        <w:rPr>
          <w:sz w:val="22"/>
          <w:szCs w:val="22"/>
        </w:rPr>
      </w:pPr>
    </w:p>
    <w:p w:rsidR="00F50386" w:rsidRDefault="00F50386">
      <w:pPr>
        <w:pStyle w:val="BodyText"/>
        <w:numPr>
          <w:ilvl w:val="1"/>
          <w:numId w:val="7"/>
        </w:numPr>
        <w:tabs>
          <w:tab w:val="left" w:pos="2347"/>
        </w:tabs>
        <w:kinsoku w:val="0"/>
        <w:overflowPunct w:val="0"/>
        <w:ind w:left="2348" w:right="192"/>
        <w:jc w:val="both"/>
      </w:pPr>
      <w:r>
        <w:t>MRc4 : Fournir le produit avec le plus grand contenu en matières recyclées préconsommation et postconsommation possible.</w:t>
      </w:r>
    </w:p>
    <w:p w:rsidR="00F50386" w:rsidRDefault="00F50386">
      <w:pPr>
        <w:kinsoku w:val="0"/>
        <w:overflowPunct w:val="0"/>
        <w:spacing w:before="5" w:line="200" w:lineRule="exact"/>
        <w:rPr>
          <w:sz w:val="20"/>
          <w:szCs w:val="20"/>
        </w:rPr>
      </w:pPr>
    </w:p>
    <w:p w:rsidR="00F50386" w:rsidRDefault="00F50386">
      <w:pPr>
        <w:kinsoku w:val="0"/>
        <w:overflowPunct w:val="0"/>
        <w:ind w:left="188" w:right="3472"/>
        <w:jc w:val="both"/>
      </w:pPr>
      <w:r>
        <w:rPr>
          <w:i/>
          <w:iCs/>
        </w:rPr>
        <w:t>REMARQUE : Utiliser ce qui suit relativement au crédit MR 5 LEED</w:t>
      </w:r>
      <w:r>
        <w:rPr>
          <w:i/>
          <w:iCs/>
          <w:sz w:val="16"/>
          <w:szCs w:val="16"/>
        </w:rPr>
        <w:t>®</w:t>
      </w:r>
      <w:r>
        <w:rPr>
          <w:i/>
          <w:iCs/>
        </w:rPr>
        <w:t>.</w:t>
      </w:r>
    </w:p>
    <w:p w:rsidR="00F50386" w:rsidRDefault="00F50386">
      <w:pPr>
        <w:kinsoku w:val="0"/>
        <w:overflowPunct w:val="0"/>
        <w:spacing w:line="240" w:lineRule="exact"/>
      </w:pPr>
    </w:p>
    <w:p w:rsidR="00F50386" w:rsidRDefault="00F50386">
      <w:pPr>
        <w:pStyle w:val="BodyText"/>
        <w:numPr>
          <w:ilvl w:val="1"/>
          <w:numId w:val="7"/>
        </w:numPr>
        <w:tabs>
          <w:tab w:val="left" w:pos="2347"/>
        </w:tabs>
        <w:kinsoku w:val="0"/>
        <w:overflowPunct w:val="0"/>
        <w:ind w:left="2348"/>
      </w:pPr>
      <w:r>
        <w:t>MRc5 : Fournir le produit en utilisant du contenu régional.</w:t>
      </w:r>
    </w:p>
    <w:p w:rsidR="00F50386" w:rsidRDefault="00F50386">
      <w:pPr>
        <w:kinsoku w:val="0"/>
        <w:overflowPunct w:val="0"/>
        <w:spacing w:before="5" w:line="200" w:lineRule="exact"/>
        <w:rPr>
          <w:sz w:val="20"/>
          <w:szCs w:val="20"/>
        </w:rPr>
      </w:pPr>
    </w:p>
    <w:p w:rsidR="00F50386" w:rsidRDefault="00F50386">
      <w:pPr>
        <w:kinsoku w:val="0"/>
        <w:overflowPunct w:val="0"/>
        <w:ind w:left="188" w:right="3318"/>
        <w:jc w:val="both"/>
      </w:pPr>
      <w:r>
        <w:rPr>
          <w:i/>
          <w:iCs/>
        </w:rPr>
        <w:t>REMARQUE : Utiliser ce qui suit relativement au crédit EQ 4.1 LEED</w:t>
      </w:r>
      <w:r>
        <w:rPr>
          <w:i/>
          <w:iCs/>
          <w:sz w:val="16"/>
          <w:szCs w:val="16"/>
        </w:rPr>
        <w:t xml:space="preserve">® </w:t>
      </w:r>
      <w:r>
        <w:rPr>
          <w:i/>
          <w:iCs/>
        </w:rPr>
        <w:t>.</w:t>
      </w:r>
    </w:p>
    <w:p w:rsidR="00F50386" w:rsidRDefault="00F50386">
      <w:pPr>
        <w:kinsoku w:val="0"/>
        <w:overflowPunct w:val="0"/>
        <w:spacing w:line="240" w:lineRule="exact"/>
      </w:pPr>
    </w:p>
    <w:p w:rsidR="00F50386" w:rsidRDefault="00F50386">
      <w:pPr>
        <w:pStyle w:val="BodyText"/>
        <w:numPr>
          <w:ilvl w:val="1"/>
          <w:numId w:val="7"/>
        </w:numPr>
        <w:tabs>
          <w:tab w:val="left" w:pos="2347"/>
        </w:tabs>
        <w:kinsoku w:val="0"/>
        <w:overflowPunct w:val="0"/>
        <w:ind w:left="2348" w:right="193"/>
        <w:jc w:val="both"/>
      </w:pPr>
      <w:r>
        <w:t>EQc4.1 : Fournir des adhésifs et des scellants émettant des quantités de COV inférieures à celles indiquées au règlement 1168 du SCAQMD. S’assurer que les quantités de COV émises par les scellants ne dépassent 250 g/l en aucun cas.</w:t>
      </w:r>
    </w:p>
    <w:p w:rsidR="00F50386" w:rsidRDefault="00F50386">
      <w:pPr>
        <w:pStyle w:val="BodyText"/>
        <w:numPr>
          <w:ilvl w:val="1"/>
          <w:numId w:val="7"/>
        </w:numPr>
        <w:tabs>
          <w:tab w:val="left" w:pos="2347"/>
        </w:tabs>
        <w:kinsoku w:val="0"/>
        <w:overflowPunct w:val="0"/>
        <w:ind w:left="2348" w:right="193"/>
        <w:jc w:val="both"/>
        <w:sectPr w:rsidR="00F50386">
          <w:pgSz w:w="12240" w:h="15840"/>
          <w:pgMar w:top="1520" w:right="1100" w:bottom="1000" w:left="820" w:header="743" w:footer="818" w:gutter="0"/>
          <w:cols w:space="720"/>
          <w:noEndnote/>
        </w:sectPr>
      </w:pPr>
    </w:p>
    <w:p w:rsidR="00F50386" w:rsidRDefault="00F50386">
      <w:pPr>
        <w:kinsoku w:val="0"/>
        <w:overflowPunct w:val="0"/>
        <w:spacing w:line="200" w:lineRule="exact"/>
        <w:rPr>
          <w:sz w:val="20"/>
          <w:szCs w:val="20"/>
        </w:rPr>
      </w:pPr>
    </w:p>
    <w:p w:rsidR="00F50386" w:rsidRDefault="00F50386">
      <w:pPr>
        <w:kinsoku w:val="0"/>
        <w:overflowPunct w:val="0"/>
        <w:spacing w:before="7" w:line="200" w:lineRule="exact"/>
        <w:rPr>
          <w:sz w:val="20"/>
          <w:szCs w:val="20"/>
        </w:rPr>
      </w:pPr>
    </w:p>
    <w:p w:rsidR="00F50386" w:rsidRDefault="00F50386">
      <w:pPr>
        <w:kinsoku w:val="0"/>
        <w:overflowPunct w:val="0"/>
        <w:spacing w:before="78"/>
        <w:ind w:left="196"/>
      </w:pPr>
      <w:r>
        <w:rPr>
          <w:i/>
          <w:iCs/>
        </w:rPr>
        <w:t>REMARQUE : Consulter le bulletin technique sur les propriétés de rendement K-28294 Quartz</w:t>
      </w:r>
      <w:r>
        <w:rPr>
          <w:i/>
          <w:iCs/>
          <w:sz w:val="16"/>
          <w:szCs w:val="16"/>
        </w:rPr>
        <w:t xml:space="preserve">md </w:t>
      </w:r>
      <w:r>
        <w:rPr>
          <w:i/>
          <w:iCs/>
        </w:rPr>
        <w:t>de DuPontmc Performance Properties.</w:t>
      </w:r>
    </w:p>
    <w:p w:rsidR="00F50386" w:rsidRDefault="00F50386">
      <w:pPr>
        <w:kinsoku w:val="0"/>
        <w:overflowPunct w:val="0"/>
        <w:spacing w:line="240" w:lineRule="exact"/>
      </w:pPr>
    </w:p>
    <w:p w:rsidR="00F50386" w:rsidRDefault="00F50386">
      <w:pPr>
        <w:pStyle w:val="BodyText"/>
        <w:numPr>
          <w:ilvl w:val="0"/>
          <w:numId w:val="7"/>
        </w:numPr>
        <w:tabs>
          <w:tab w:val="left" w:pos="1275"/>
        </w:tabs>
        <w:kinsoku w:val="0"/>
        <w:overflowPunct w:val="0"/>
        <w:ind w:left="1276"/>
      </w:pPr>
      <w:r>
        <w:t>Critères de rendement et de conception :</w:t>
      </w:r>
    </w:p>
    <w:p w:rsidR="00F50386" w:rsidRDefault="00F50386">
      <w:pPr>
        <w:kinsoku w:val="0"/>
        <w:overflowPunct w:val="0"/>
        <w:spacing w:before="1" w:line="170" w:lineRule="exact"/>
        <w:rPr>
          <w:sz w:val="17"/>
          <w:szCs w:val="17"/>
        </w:rPr>
      </w:pPr>
    </w:p>
    <w:tbl>
      <w:tblPr>
        <w:tblW w:w="0" w:type="auto"/>
        <w:tblInd w:w="1236" w:type="dxa"/>
        <w:tblLayout w:type="fixed"/>
        <w:tblCellMar>
          <w:left w:w="0" w:type="dxa"/>
          <w:right w:w="0" w:type="dxa"/>
        </w:tblCellMar>
        <w:tblLook w:val="0000" w:firstRow="0" w:lastRow="0" w:firstColumn="0" w:lastColumn="0" w:noHBand="0" w:noVBand="0"/>
      </w:tblPr>
      <w:tblGrid>
        <w:gridCol w:w="478"/>
        <w:gridCol w:w="3260"/>
        <w:gridCol w:w="5197"/>
      </w:tblGrid>
      <w:tr w:rsidR="00F50386">
        <w:trPr>
          <w:trHeight w:hRule="exact" w:val="754"/>
        </w:trPr>
        <w:tc>
          <w:tcPr>
            <w:tcW w:w="478" w:type="dxa"/>
            <w:tcBorders>
              <w:top w:val="nil"/>
              <w:left w:val="nil"/>
              <w:bottom w:val="nil"/>
              <w:right w:val="nil"/>
            </w:tcBorders>
          </w:tcPr>
          <w:p w:rsidR="00F50386" w:rsidRDefault="00F50386"/>
        </w:tc>
        <w:tc>
          <w:tcPr>
            <w:tcW w:w="3260" w:type="dxa"/>
            <w:tcBorders>
              <w:top w:val="nil"/>
              <w:left w:val="nil"/>
              <w:bottom w:val="nil"/>
              <w:right w:val="nil"/>
            </w:tcBorders>
          </w:tcPr>
          <w:p w:rsidR="00F50386" w:rsidRDefault="00F50386">
            <w:pPr>
              <w:pStyle w:val="TableParagraph"/>
              <w:kinsoku w:val="0"/>
              <w:overflowPunct w:val="0"/>
              <w:spacing w:before="69"/>
              <w:ind w:left="138"/>
            </w:pPr>
            <w:r>
              <w:t>Propriété</w:t>
            </w:r>
          </w:p>
        </w:tc>
        <w:tc>
          <w:tcPr>
            <w:tcW w:w="5197" w:type="dxa"/>
            <w:tcBorders>
              <w:top w:val="nil"/>
              <w:left w:val="nil"/>
              <w:bottom w:val="nil"/>
              <w:right w:val="nil"/>
            </w:tcBorders>
          </w:tcPr>
          <w:p w:rsidR="00F50386" w:rsidRDefault="00F50386">
            <w:pPr>
              <w:pStyle w:val="TableParagraph"/>
              <w:tabs>
                <w:tab w:val="left" w:pos="3141"/>
                <w:tab w:val="left" w:pos="4183"/>
              </w:tabs>
              <w:kinsoku w:val="0"/>
              <w:overflowPunct w:val="0"/>
              <w:spacing w:before="69"/>
              <w:ind w:left="261" w:right="40"/>
            </w:pPr>
            <w:r>
              <w:t>Exigence</w:t>
            </w:r>
            <w:r>
              <w:tab/>
              <w:t>Test</w:t>
            </w:r>
            <w:r>
              <w:tab/>
              <w:t>Procédure (min. ou max.)</w:t>
            </w:r>
          </w:p>
        </w:tc>
      </w:tr>
      <w:tr w:rsidR="00F50386">
        <w:trPr>
          <w:trHeight w:hRule="exact" w:val="494"/>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à la flexion</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D81834">
            <w:pPr>
              <w:pStyle w:val="TableParagraph"/>
              <w:tabs>
                <w:tab w:val="left" w:pos="3141"/>
              </w:tabs>
              <w:kinsoku w:val="0"/>
              <w:overflowPunct w:val="0"/>
              <w:ind w:left="261"/>
            </w:pPr>
            <w:r>
              <w:t>&gt; 5300 psi</w:t>
            </w:r>
            <w:r>
              <w:tab/>
              <w:t>ASTM D790</w:t>
            </w:r>
          </w:p>
        </w:tc>
      </w:tr>
      <w:tr w:rsidR="00F50386">
        <w:trPr>
          <w:trHeight w:hRule="exact" w:val="538"/>
        </w:trPr>
        <w:tc>
          <w:tcPr>
            <w:tcW w:w="478" w:type="dxa"/>
            <w:tcBorders>
              <w:top w:val="nil"/>
              <w:left w:val="nil"/>
              <w:bottom w:val="nil"/>
              <w:right w:val="nil"/>
            </w:tcBorders>
          </w:tcPr>
          <w:p w:rsidR="00F50386" w:rsidRDefault="00F50386">
            <w:pPr>
              <w:pStyle w:val="TableParagraph"/>
              <w:kinsoku w:val="0"/>
              <w:overflowPunct w:val="0"/>
              <w:spacing w:before="9" w:line="120" w:lineRule="exact"/>
              <w:rPr>
                <w:sz w:val="12"/>
                <w:szCs w:val="12"/>
              </w:rPr>
            </w:pPr>
          </w:p>
          <w:p w:rsidR="00F50386" w:rsidRDefault="00F50386">
            <w:pPr>
              <w:pStyle w:val="TableParagraph"/>
              <w:kinsoku w:val="0"/>
              <w:overflowPunct w:val="0"/>
              <w:ind w:left="40"/>
            </w:pPr>
            <w:r>
              <w:t>.2</w:t>
            </w:r>
          </w:p>
        </w:tc>
        <w:tc>
          <w:tcPr>
            <w:tcW w:w="3260" w:type="dxa"/>
            <w:tcBorders>
              <w:top w:val="nil"/>
              <w:left w:val="nil"/>
              <w:bottom w:val="nil"/>
              <w:right w:val="nil"/>
            </w:tcBorders>
          </w:tcPr>
          <w:p w:rsidR="00F50386" w:rsidRDefault="00F50386">
            <w:pPr>
              <w:pStyle w:val="TableParagraph"/>
              <w:kinsoku w:val="0"/>
              <w:overflowPunct w:val="0"/>
              <w:spacing w:before="9" w:line="120" w:lineRule="exact"/>
              <w:rPr>
                <w:sz w:val="12"/>
                <w:szCs w:val="12"/>
              </w:rPr>
            </w:pPr>
          </w:p>
          <w:p w:rsidR="00F50386" w:rsidRDefault="00F50386">
            <w:pPr>
              <w:pStyle w:val="TableParagraph"/>
              <w:kinsoku w:val="0"/>
              <w:overflowPunct w:val="0"/>
              <w:ind w:left="138"/>
            </w:pPr>
            <w:r>
              <w:t>Module d’élasticité en flexion</w:t>
            </w:r>
          </w:p>
        </w:tc>
        <w:tc>
          <w:tcPr>
            <w:tcW w:w="5197" w:type="dxa"/>
            <w:tcBorders>
              <w:top w:val="nil"/>
              <w:left w:val="nil"/>
              <w:bottom w:val="nil"/>
              <w:right w:val="nil"/>
            </w:tcBorders>
          </w:tcPr>
          <w:p w:rsidR="00F50386" w:rsidRDefault="00F50386">
            <w:pPr>
              <w:pStyle w:val="TableParagraph"/>
              <w:tabs>
                <w:tab w:val="left" w:pos="3141"/>
              </w:tabs>
              <w:kinsoku w:val="0"/>
              <w:overflowPunct w:val="0"/>
              <w:spacing w:before="94"/>
              <w:ind w:left="261"/>
            </w:pPr>
            <w:r>
              <w:t>5,3 à 5,7 x 10</w:t>
            </w:r>
            <w:r>
              <w:rPr>
                <w:sz w:val="16"/>
                <w:szCs w:val="16"/>
              </w:rPr>
              <w:t>6 </w:t>
            </w:r>
            <w:r>
              <w:t>psi</w:t>
            </w:r>
            <w:r>
              <w:tab/>
              <w:t>ASTM D790</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.3</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Allongement de flexion</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141"/>
              </w:tabs>
              <w:kinsoku w:val="0"/>
              <w:overflowPunct w:val="0"/>
              <w:ind w:left="261"/>
            </w:pPr>
            <w:r>
              <w:t>&gt; 0,1 %</w:t>
            </w:r>
            <w:r>
              <w:tab/>
              <w:t>ASTM D790</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.4</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à la compression (sec)</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081"/>
              </w:tabs>
              <w:kinsoku w:val="0"/>
              <w:overflowPunct w:val="0"/>
              <w:ind w:left="261"/>
            </w:pPr>
            <w:r>
              <w:t>27 300 psi</w:t>
            </w:r>
            <w:r>
              <w:tab/>
              <w:t>ASTM C170/C170M</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.5</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à la compression (humide)</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081"/>
              </w:tabs>
              <w:kinsoku w:val="0"/>
              <w:overflowPunct w:val="0"/>
              <w:ind w:left="261"/>
            </w:pPr>
            <w:r>
              <w:t>24 400 psi</w:t>
            </w:r>
            <w:r>
              <w:tab/>
              <w:t>ASTM C170/C170M</w:t>
            </w:r>
          </w:p>
        </w:tc>
      </w:tr>
      <w:tr w:rsidR="00F50386">
        <w:trPr>
          <w:trHeight w:hRule="exact" w:val="494"/>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.6</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Dureté</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2961"/>
              </w:tabs>
              <w:kinsoku w:val="0"/>
              <w:overflowPunct w:val="0"/>
              <w:ind w:left="261"/>
            </w:pPr>
            <w:r>
              <w:t>7</w:t>
            </w:r>
            <w:r>
              <w:tab/>
              <w:t>Échelle de Mohs</w:t>
            </w:r>
          </w:p>
        </w:tc>
      </w:tr>
      <w:tr w:rsidR="00F50386">
        <w:trPr>
          <w:trHeight w:hRule="exact" w:val="538"/>
        </w:trPr>
        <w:tc>
          <w:tcPr>
            <w:tcW w:w="478" w:type="dxa"/>
            <w:tcBorders>
              <w:top w:val="nil"/>
              <w:left w:val="nil"/>
              <w:bottom w:val="nil"/>
              <w:right w:val="nil"/>
            </w:tcBorders>
          </w:tcPr>
          <w:p w:rsidR="00F50386" w:rsidRDefault="00F50386">
            <w:pPr>
              <w:pStyle w:val="TableParagraph"/>
              <w:kinsoku w:val="0"/>
              <w:overflowPunct w:val="0"/>
              <w:spacing w:before="9" w:line="120" w:lineRule="exact"/>
              <w:rPr>
                <w:sz w:val="12"/>
                <w:szCs w:val="12"/>
              </w:rPr>
            </w:pPr>
          </w:p>
          <w:p w:rsidR="00F50386" w:rsidRDefault="00F50386">
            <w:pPr>
              <w:pStyle w:val="TableParagraph"/>
              <w:kinsoku w:val="0"/>
              <w:overflowPunct w:val="0"/>
              <w:ind w:left="40"/>
            </w:pPr>
            <w:r>
              <w:t>.7</w:t>
            </w:r>
          </w:p>
        </w:tc>
        <w:tc>
          <w:tcPr>
            <w:tcW w:w="3260" w:type="dxa"/>
            <w:tcBorders>
              <w:top w:val="nil"/>
              <w:left w:val="nil"/>
              <w:bottom w:val="nil"/>
              <w:right w:val="nil"/>
            </w:tcBorders>
          </w:tcPr>
          <w:p w:rsidR="00F50386" w:rsidRDefault="00F50386">
            <w:pPr>
              <w:pStyle w:val="TableParagraph"/>
              <w:kinsoku w:val="0"/>
              <w:overflowPunct w:val="0"/>
              <w:spacing w:before="9" w:line="120" w:lineRule="exact"/>
              <w:rPr>
                <w:sz w:val="12"/>
                <w:szCs w:val="12"/>
              </w:rPr>
            </w:pPr>
          </w:p>
          <w:p w:rsidR="00F50386" w:rsidRDefault="00F50386">
            <w:pPr>
              <w:pStyle w:val="TableParagraph"/>
              <w:kinsoku w:val="0"/>
              <w:overflowPunct w:val="0"/>
              <w:ind w:left="138"/>
            </w:pPr>
            <w:r>
              <w:t>Dilatation thermique</w:t>
            </w:r>
          </w:p>
        </w:tc>
        <w:tc>
          <w:tcPr>
            <w:tcW w:w="5197" w:type="dxa"/>
            <w:tcBorders>
              <w:top w:val="nil"/>
              <w:left w:val="nil"/>
              <w:bottom w:val="nil"/>
              <w:right w:val="nil"/>
            </w:tcBorders>
          </w:tcPr>
          <w:p w:rsidR="00F50386" w:rsidRDefault="00F50386">
            <w:pPr>
              <w:pStyle w:val="TableParagraph"/>
              <w:tabs>
                <w:tab w:val="left" w:pos="3141"/>
              </w:tabs>
              <w:kinsoku w:val="0"/>
              <w:overflowPunct w:val="0"/>
              <w:spacing w:before="94"/>
              <w:ind w:left="261"/>
            </w:pPr>
            <w:r>
              <w:t>1,45 x 10</w:t>
            </w:r>
            <w:r>
              <w:rPr>
                <w:sz w:val="16"/>
                <w:szCs w:val="16"/>
              </w:rPr>
              <w:t>-5 </w:t>
            </w:r>
            <w:r>
              <w:t>m/m/°C</w:t>
            </w:r>
            <w:r>
              <w:tab/>
              <w:t>ASTM D696</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.8</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Brillance (60° Gardner)</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141"/>
              </w:tabs>
              <w:kinsoku w:val="0"/>
              <w:overflowPunct w:val="0"/>
              <w:ind w:left="261"/>
            </w:pPr>
            <w:r>
              <w:t>45–50</w:t>
            </w:r>
            <w:r>
              <w:tab/>
              <w:t>ANSI Z124</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.9</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Solidité de la couleur</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141"/>
              </w:tabs>
              <w:kinsoku w:val="0"/>
              <w:overflowPunct w:val="0"/>
              <w:ind w:left="261"/>
            </w:pPr>
            <w:r>
              <w:t>Aucun effet</w:t>
            </w:r>
            <w:r>
              <w:tab/>
              <w:t>NEMA LD 3.3.3*</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.10</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à l’usure et au nettoyage</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2601"/>
              </w:tabs>
              <w:kinsoku w:val="0"/>
              <w:overflowPunct w:val="0"/>
              <w:ind w:left="261"/>
            </w:pPr>
            <w:r>
              <w:t>Passe</w:t>
            </w:r>
            <w:r>
              <w:tab/>
              <w:t>CSA B45.5/IAPMO Z124</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.11</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aux taches</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2601"/>
              </w:tabs>
              <w:kinsoku w:val="0"/>
              <w:overflowPunct w:val="0"/>
              <w:ind w:left="261"/>
            </w:pPr>
            <w:r>
              <w:t>Passe</w:t>
            </w:r>
            <w:r>
              <w:tab/>
              <w:t>CSA B45.5/IAPMO Z124</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.12</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fongique</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141"/>
              </w:tabs>
              <w:kinsoku w:val="0"/>
              <w:overflowPunct w:val="0"/>
              <w:ind w:left="261"/>
            </w:pPr>
            <w:r>
              <w:t>Aucune croissance</w:t>
            </w:r>
            <w:r>
              <w:tab/>
              <w:t>ASTM G21</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.13</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bactérienne</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141"/>
              </w:tabs>
              <w:kinsoku w:val="0"/>
              <w:overflowPunct w:val="0"/>
              <w:ind w:left="261"/>
            </w:pPr>
            <w:r>
              <w:t>Aucune croissance</w:t>
            </w:r>
            <w:r>
              <w:tab/>
              <w:t>ASTM G22</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.14</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aux hautes températures</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141"/>
              </w:tabs>
              <w:kinsoku w:val="0"/>
              <w:overflowPunct w:val="0"/>
              <w:ind w:left="261"/>
            </w:pPr>
            <w:r>
              <w:t>Aucun effet ou très léger</w:t>
            </w:r>
            <w:r>
              <w:tab/>
              <w:t>NEMA LD 3.3.6*</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.15</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à l’eau bouillante</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141"/>
              </w:tabs>
              <w:kinsoku w:val="0"/>
              <w:overflowPunct w:val="0"/>
              <w:ind w:left="261"/>
            </w:pPr>
            <w:r>
              <w:t>Aucun effet ou très léger</w:t>
            </w:r>
            <w:r>
              <w:tab/>
              <w:t>NEMA LD 3.3.5*</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.16</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Cycle de gel-dégel</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141"/>
              </w:tabs>
              <w:kinsoku w:val="0"/>
              <w:overflowPunct w:val="0"/>
              <w:ind w:left="261"/>
            </w:pPr>
            <w:r>
              <w:t>Aucun effet</w:t>
            </w:r>
            <w:r>
              <w:tab/>
              <w:t>ASTM C1026</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.17</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Point d’impact</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tabs>
                <w:tab w:val="left" w:pos="3141"/>
              </w:tabs>
              <w:kinsoku w:val="0"/>
              <w:overflowPunct w:val="0"/>
              <w:ind w:left="261"/>
            </w:pPr>
            <w:r>
              <w:t>Passe</w:t>
            </w:r>
            <w:r>
              <w:tab/>
              <w:t>ANSI Z124.6.4.2.1</w:t>
            </w:r>
          </w:p>
        </w:tc>
      </w:tr>
      <w:tr w:rsidR="00F50386">
        <w:trPr>
          <w:trHeight w:hRule="exact" w:val="414"/>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.18</w:t>
            </w:r>
          </w:p>
        </w:tc>
        <w:tc>
          <w:tcPr>
            <w:tcW w:w="326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à l’impact à la bille : Dalles de</w:t>
            </w:r>
          </w:p>
        </w:tc>
        <w:tc>
          <w:tcPr>
            <w:tcW w:w="5197"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261" w:right="40"/>
            </w:pPr>
            <w:r>
              <w:t>416,56 cm (164 po) (pas d’échec à cette hauteur)</w:t>
            </w:r>
          </w:p>
        </w:tc>
      </w:tr>
    </w:tbl>
    <w:p w:rsidR="00F50386" w:rsidRDefault="00F50386">
      <w:pPr>
        <w:pStyle w:val="BodyText"/>
        <w:tabs>
          <w:tab w:val="left" w:pos="8115"/>
        </w:tabs>
        <w:kinsoku w:val="0"/>
        <w:overflowPunct w:val="0"/>
        <w:spacing w:line="245" w:lineRule="exact"/>
        <w:ind w:firstLine="0"/>
      </w:pPr>
      <w:r>
        <w:t>Sans rupture, bille de 226,79 g (½ lb), 2 et 3 cm</w:t>
      </w:r>
      <w:r>
        <w:tab/>
        <w:t>NEMA LD 3.3.8*</w:t>
      </w:r>
    </w:p>
    <w:p w:rsidR="00F50386" w:rsidRDefault="00F50386">
      <w:pPr>
        <w:pStyle w:val="BodyText"/>
        <w:tabs>
          <w:tab w:val="left" w:pos="8115"/>
        </w:tabs>
        <w:kinsoku w:val="0"/>
        <w:overflowPunct w:val="0"/>
        <w:spacing w:line="245" w:lineRule="exact"/>
        <w:ind w:firstLine="0"/>
        <w:sectPr w:rsidR="00F50386">
          <w:pgSz w:w="12240" w:h="15840"/>
          <w:pgMar w:top="1520" w:right="820" w:bottom="1000" w:left="1100" w:header="743" w:footer="818" w:gutter="0"/>
          <w:cols w:space="720"/>
          <w:noEndnote/>
        </w:sectPr>
      </w:pPr>
    </w:p>
    <w:p w:rsidR="00F50386" w:rsidRDefault="00F50386">
      <w:pPr>
        <w:kinsoku w:val="0"/>
        <w:overflowPunct w:val="0"/>
        <w:spacing w:line="200" w:lineRule="exact"/>
        <w:rPr>
          <w:sz w:val="20"/>
          <w:szCs w:val="20"/>
        </w:rPr>
      </w:pPr>
    </w:p>
    <w:p w:rsidR="00F50386" w:rsidRDefault="00F50386">
      <w:pPr>
        <w:kinsoku w:val="0"/>
        <w:overflowPunct w:val="0"/>
        <w:spacing w:before="12" w:line="240" w:lineRule="exact"/>
      </w:pPr>
    </w:p>
    <w:tbl>
      <w:tblPr>
        <w:tblW w:w="0" w:type="auto"/>
        <w:tblInd w:w="1228" w:type="dxa"/>
        <w:tblLayout w:type="fixed"/>
        <w:tblCellMar>
          <w:left w:w="0" w:type="dxa"/>
          <w:right w:w="0" w:type="dxa"/>
        </w:tblCellMar>
        <w:tblLook w:val="0000" w:firstRow="0" w:lastRow="0" w:firstColumn="0" w:lastColumn="0" w:noHBand="0" w:noVBand="0"/>
      </w:tblPr>
      <w:tblGrid>
        <w:gridCol w:w="478"/>
        <w:gridCol w:w="3214"/>
        <w:gridCol w:w="2730"/>
        <w:gridCol w:w="2123"/>
      </w:tblGrid>
      <w:tr w:rsidR="00F50386">
        <w:trPr>
          <w:trHeight w:hRule="exact" w:val="754"/>
        </w:trPr>
        <w:tc>
          <w:tcPr>
            <w:tcW w:w="478" w:type="dxa"/>
            <w:tcBorders>
              <w:top w:val="nil"/>
              <w:left w:val="nil"/>
              <w:bottom w:val="nil"/>
              <w:right w:val="nil"/>
            </w:tcBorders>
          </w:tcPr>
          <w:p w:rsidR="00F50386" w:rsidRDefault="00F50386">
            <w:pPr>
              <w:pStyle w:val="TableParagraph"/>
              <w:kinsoku w:val="0"/>
              <w:overflowPunct w:val="0"/>
              <w:spacing w:before="69"/>
              <w:ind w:left="40"/>
            </w:pPr>
            <w:r>
              <w:t>.19</w:t>
            </w:r>
          </w:p>
        </w:tc>
        <w:tc>
          <w:tcPr>
            <w:tcW w:w="3214" w:type="dxa"/>
            <w:tcBorders>
              <w:top w:val="nil"/>
              <w:left w:val="nil"/>
              <w:bottom w:val="nil"/>
              <w:right w:val="nil"/>
            </w:tcBorders>
          </w:tcPr>
          <w:p w:rsidR="00F50386" w:rsidRDefault="00F50386">
            <w:pPr>
              <w:pStyle w:val="TableParagraph"/>
              <w:kinsoku w:val="0"/>
              <w:overflowPunct w:val="0"/>
              <w:spacing w:before="69"/>
              <w:ind w:left="138" w:right="308"/>
            </w:pPr>
            <w:r>
              <w:t>Coefficient de frottement statique (à la réception)</w:t>
            </w:r>
          </w:p>
        </w:tc>
        <w:tc>
          <w:tcPr>
            <w:tcW w:w="2730" w:type="dxa"/>
            <w:tcBorders>
              <w:top w:val="nil"/>
              <w:left w:val="nil"/>
              <w:bottom w:val="nil"/>
              <w:right w:val="nil"/>
            </w:tcBorders>
          </w:tcPr>
          <w:p w:rsidR="00F50386" w:rsidRDefault="00F50386">
            <w:pPr>
              <w:pStyle w:val="TableParagraph"/>
              <w:kinsoku w:val="0"/>
              <w:overflowPunct w:val="0"/>
              <w:spacing w:before="5" w:line="140" w:lineRule="exact"/>
              <w:rPr>
                <w:sz w:val="14"/>
                <w:szCs w:val="14"/>
              </w:rPr>
            </w:pPr>
          </w:p>
          <w:p w:rsidR="00F50386" w:rsidRDefault="00F50386">
            <w:pPr>
              <w:pStyle w:val="TableParagraph"/>
              <w:kinsoku w:val="0"/>
              <w:overflowPunct w:val="0"/>
              <w:spacing w:line="200" w:lineRule="exact"/>
              <w:rPr>
                <w:sz w:val="20"/>
                <w:szCs w:val="20"/>
              </w:rPr>
            </w:pPr>
          </w:p>
          <w:p w:rsidR="00F50386" w:rsidRDefault="00F50386">
            <w:pPr>
              <w:pStyle w:val="TableParagraph"/>
              <w:kinsoku w:val="0"/>
              <w:overflowPunct w:val="0"/>
              <w:ind w:left="308"/>
            </w:pPr>
            <w:r>
              <w:t>0,89/0,61 (sec/humide)</w:t>
            </w:r>
          </w:p>
        </w:tc>
        <w:tc>
          <w:tcPr>
            <w:tcW w:w="2123" w:type="dxa"/>
            <w:tcBorders>
              <w:top w:val="nil"/>
              <w:left w:val="nil"/>
              <w:bottom w:val="nil"/>
              <w:right w:val="nil"/>
            </w:tcBorders>
          </w:tcPr>
          <w:p w:rsidR="00F50386" w:rsidRDefault="00F50386">
            <w:pPr>
              <w:pStyle w:val="TableParagraph"/>
              <w:kinsoku w:val="0"/>
              <w:overflowPunct w:val="0"/>
              <w:spacing w:before="5" w:line="140" w:lineRule="exact"/>
              <w:rPr>
                <w:sz w:val="14"/>
                <w:szCs w:val="14"/>
              </w:rPr>
            </w:pPr>
          </w:p>
          <w:p w:rsidR="00F50386" w:rsidRDefault="00F50386">
            <w:pPr>
              <w:pStyle w:val="TableParagraph"/>
              <w:kinsoku w:val="0"/>
              <w:overflowPunct w:val="0"/>
              <w:spacing w:line="200" w:lineRule="exact"/>
              <w:rPr>
                <w:sz w:val="20"/>
                <w:szCs w:val="20"/>
              </w:rPr>
            </w:pPr>
          </w:p>
          <w:p w:rsidR="00F50386" w:rsidRDefault="00F50386">
            <w:pPr>
              <w:pStyle w:val="TableParagraph"/>
              <w:kinsoku w:val="0"/>
              <w:overflowPunct w:val="0"/>
              <w:ind w:left="458"/>
            </w:pPr>
            <w:r>
              <w:t>ASTM C1028</w:t>
            </w:r>
          </w:p>
        </w:tc>
      </w:tr>
      <w:tr w:rsidR="00F50386">
        <w:trPr>
          <w:trHeight w:hRule="exact" w:val="494"/>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.20</w:t>
            </w:r>
          </w:p>
        </w:tc>
        <w:tc>
          <w:tcPr>
            <w:tcW w:w="321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Résistance à l’abrasion</w:t>
            </w:r>
          </w:p>
        </w:tc>
        <w:tc>
          <w:tcPr>
            <w:tcW w:w="273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308"/>
            </w:pPr>
            <w:r>
              <w:t>139</w:t>
            </w:r>
          </w:p>
        </w:tc>
        <w:tc>
          <w:tcPr>
            <w:tcW w:w="2123"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58"/>
            </w:pPr>
            <w:r>
              <w:t>ASTM C501</w:t>
            </w:r>
          </w:p>
        </w:tc>
      </w:tr>
      <w:tr w:rsidR="00F50386">
        <w:trPr>
          <w:trHeight w:hRule="exact" w:val="538"/>
        </w:trPr>
        <w:tc>
          <w:tcPr>
            <w:tcW w:w="478" w:type="dxa"/>
            <w:tcBorders>
              <w:top w:val="nil"/>
              <w:left w:val="nil"/>
              <w:bottom w:val="nil"/>
              <w:right w:val="nil"/>
            </w:tcBorders>
          </w:tcPr>
          <w:p w:rsidR="00F50386" w:rsidRDefault="00F50386">
            <w:pPr>
              <w:pStyle w:val="TableParagraph"/>
              <w:kinsoku w:val="0"/>
              <w:overflowPunct w:val="0"/>
              <w:spacing w:before="9" w:line="120" w:lineRule="exact"/>
              <w:rPr>
                <w:sz w:val="12"/>
                <w:szCs w:val="12"/>
              </w:rPr>
            </w:pPr>
          </w:p>
          <w:p w:rsidR="00F50386" w:rsidRDefault="00F50386">
            <w:pPr>
              <w:pStyle w:val="TableParagraph"/>
              <w:kinsoku w:val="0"/>
              <w:overflowPunct w:val="0"/>
              <w:ind w:left="40"/>
            </w:pPr>
            <w:r>
              <w:t>.21</w:t>
            </w:r>
          </w:p>
        </w:tc>
        <w:tc>
          <w:tcPr>
            <w:tcW w:w="3214" w:type="dxa"/>
            <w:tcBorders>
              <w:top w:val="nil"/>
              <w:left w:val="nil"/>
              <w:bottom w:val="nil"/>
              <w:right w:val="nil"/>
            </w:tcBorders>
          </w:tcPr>
          <w:p w:rsidR="00F50386" w:rsidRDefault="00F50386">
            <w:pPr>
              <w:pStyle w:val="TableParagraph"/>
              <w:kinsoku w:val="0"/>
              <w:overflowPunct w:val="0"/>
              <w:spacing w:before="9" w:line="120" w:lineRule="exact"/>
              <w:rPr>
                <w:sz w:val="12"/>
                <w:szCs w:val="12"/>
              </w:rPr>
            </w:pPr>
          </w:p>
          <w:p w:rsidR="00F50386" w:rsidRDefault="00F50386">
            <w:pPr>
              <w:pStyle w:val="TableParagraph"/>
              <w:kinsoku w:val="0"/>
              <w:overflowPunct w:val="0"/>
              <w:ind w:left="138"/>
            </w:pPr>
            <w:r>
              <w:t>Densité</w:t>
            </w:r>
          </w:p>
        </w:tc>
        <w:tc>
          <w:tcPr>
            <w:tcW w:w="2730" w:type="dxa"/>
            <w:tcBorders>
              <w:top w:val="nil"/>
              <w:left w:val="nil"/>
              <w:bottom w:val="nil"/>
              <w:right w:val="nil"/>
            </w:tcBorders>
          </w:tcPr>
          <w:p w:rsidR="00F50386" w:rsidRDefault="00F50386">
            <w:pPr>
              <w:pStyle w:val="TableParagraph"/>
              <w:kinsoku w:val="0"/>
              <w:overflowPunct w:val="0"/>
              <w:spacing w:before="94"/>
              <w:ind w:left="308"/>
            </w:pPr>
            <w:r>
              <w:t>2,4 g/cm</w:t>
            </w:r>
            <w:r>
              <w:rPr>
                <w:sz w:val="16"/>
                <w:szCs w:val="16"/>
              </w:rPr>
              <w:t>3</w:t>
            </w:r>
          </w:p>
        </w:tc>
        <w:tc>
          <w:tcPr>
            <w:tcW w:w="2123" w:type="dxa"/>
            <w:tcBorders>
              <w:top w:val="nil"/>
              <w:left w:val="nil"/>
              <w:bottom w:val="nil"/>
              <w:right w:val="nil"/>
            </w:tcBorders>
          </w:tcPr>
          <w:p w:rsidR="00F50386" w:rsidRDefault="00F50386">
            <w:pPr>
              <w:pStyle w:val="TableParagraph"/>
              <w:kinsoku w:val="0"/>
              <w:overflowPunct w:val="0"/>
              <w:spacing w:before="9" w:line="120" w:lineRule="exact"/>
              <w:rPr>
                <w:sz w:val="12"/>
                <w:szCs w:val="12"/>
              </w:rPr>
            </w:pPr>
          </w:p>
          <w:p w:rsidR="00F50386" w:rsidRDefault="00F50386">
            <w:pPr>
              <w:pStyle w:val="TableParagraph"/>
              <w:kinsoku w:val="0"/>
              <w:overflowPunct w:val="0"/>
              <w:ind w:left="458"/>
            </w:pPr>
            <w:r>
              <w:t>ASTM D792</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.22</w:t>
            </w:r>
          </w:p>
        </w:tc>
        <w:tc>
          <w:tcPr>
            <w:tcW w:w="321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Absorption d’eau</w:t>
            </w:r>
          </w:p>
        </w:tc>
        <w:tc>
          <w:tcPr>
            <w:tcW w:w="273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308"/>
            </w:pPr>
            <w:r>
              <w:t>0.12%</w:t>
            </w:r>
          </w:p>
        </w:tc>
        <w:tc>
          <w:tcPr>
            <w:tcW w:w="2123"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58"/>
            </w:pPr>
            <w:r>
              <w:t>ASTM C373</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.23</w:t>
            </w:r>
          </w:p>
        </w:tc>
        <w:tc>
          <w:tcPr>
            <w:tcW w:w="321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Court et long termes</w:t>
            </w:r>
          </w:p>
        </w:tc>
        <w:tc>
          <w:tcPr>
            <w:tcW w:w="273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308"/>
            </w:pPr>
            <w:r>
              <w:t>&lt; 0,04 %</w:t>
            </w:r>
          </w:p>
        </w:tc>
        <w:tc>
          <w:tcPr>
            <w:tcW w:w="2123"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58"/>
            </w:pPr>
            <w:r>
              <w:t>ASTM D570</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.24</w:t>
            </w:r>
          </w:p>
        </w:tc>
        <w:tc>
          <w:tcPr>
            <w:tcW w:w="321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Gonflement à l’humidité</w:t>
            </w:r>
          </w:p>
        </w:tc>
        <w:tc>
          <w:tcPr>
            <w:tcW w:w="273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308"/>
            </w:pPr>
            <w:r>
              <w:t>&lt; 0,01 % en moyenne</w:t>
            </w:r>
          </w:p>
        </w:tc>
        <w:tc>
          <w:tcPr>
            <w:tcW w:w="2123"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58"/>
            </w:pPr>
            <w:r>
              <w:t>ASTM C370</w:t>
            </w:r>
          </w:p>
        </w:tc>
      </w:tr>
      <w:tr w:rsidR="00F50386">
        <w:trPr>
          <w:trHeight w:hRule="exact" w:val="516"/>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.25</w:t>
            </w:r>
          </w:p>
        </w:tc>
        <w:tc>
          <w:tcPr>
            <w:tcW w:w="321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Inflammabilité</w:t>
            </w:r>
          </w:p>
        </w:tc>
        <w:tc>
          <w:tcPr>
            <w:tcW w:w="273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308"/>
            </w:pPr>
            <w:r>
              <w:t>Classe A</w:t>
            </w:r>
          </w:p>
        </w:tc>
        <w:tc>
          <w:tcPr>
            <w:tcW w:w="2123"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58"/>
            </w:pPr>
            <w:r>
              <w:t>NFPA 101</w:t>
            </w:r>
          </w:p>
        </w:tc>
      </w:tr>
      <w:tr w:rsidR="00F50386">
        <w:trPr>
          <w:trHeight w:hRule="exact" w:val="792"/>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.26</w:t>
            </w:r>
          </w:p>
        </w:tc>
        <w:tc>
          <w:tcPr>
            <w:tcW w:w="321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Indice de propagation de flamme</w:t>
            </w:r>
          </w:p>
        </w:tc>
        <w:tc>
          <w:tcPr>
            <w:tcW w:w="273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rsidP="00033293">
            <w:pPr>
              <w:pStyle w:val="TableParagraph"/>
              <w:kinsoku w:val="0"/>
              <w:overflowPunct w:val="0"/>
              <w:ind w:left="308" w:right="794"/>
            </w:pPr>
            <w:r>
              <w:t>0 pour 3 cm, 5 pour 2 cm</w:t>
            </w:r>
          </w:p>
        </w:tc>
        <w:tc>
          <w:tcPr>
            <w:tcW w:w="2123" w:type="dxa"/>
            <w:tcBorders>
              <w:top w:val="nil"/>
              <w:left w:val="nil"/>
              <w:bottom w:val="nil"/>
              <w:right w:val="nil"/>
            </w:tcBorders>
          </w:tcPr>
          <w:p w:rsidR="00F50386" w:rsidRDefault="00F50386">
            <w:pPr>
              <w:pStyle w:val="TableParagraph"/>
              <w:kinsoku w:val="0"/>
              <w:overflowPunct w:val="0"/>
              <w:spacing w:before="3" w:line="180" w:lineRule="exact"/>
              <w:rPr>
                <w:sz w:val="18"/>
                <w:szCs w:val="18"/>
              </w:rPr>
            </w:pPr>
          </w:p>
          <w:p w:rsidR="00F50386" w:rsidRDefault="00F50386">
            <w:pPr>
              <w:pStyle w:val="TableParagraph"/>
              <w:kinsoku w:val="0"/>
              <w:overflowPunct w:val="0"/>
              <w:spacing w:line="200" w:lineRule="exact"/>
              <w:rPr>
                <w:sz w:val="20"/>
                <w:szCs w:val="20"/>
              </w:rPr>
            </w:pPr>
          </w:p>
          <w:p w:rsidR="00F50386" w:rsidRDefault="00F50386">
            <w:pPr>
              <w:pStyle w:val="TableParagraph"/>
              <w:kinsoku w:val="0"/>
              <w:overflowPunct w:val="0"/>
              <w:ind w:left="458"/>
            </w:pPr>
            <w:r>
              <w:t>CAN/ULC-S102</w:t>
            </w:r>
          </w:p>
        </w:tc>
      </w:tr>
      <w:tr w:rsidR="00F50386">
        <w:trPr>
          <w:trHeight w:hRule="exact" w:val="754"/>
        </w:trPr>
        <w:tc>
          <w:tcPr>
            <w:tcW w:w="478"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.27</w:t>
            </w:r>
          </w:p>
        </w:tc>
        <w:tc>
          <w:tcPr>
            <w:tcW w:w="3214"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38"/>
            </w:pPr>
            <w:r>
              <w:t>Indice de pouvoir fumigène</w:t>
            </w:r>
          </w:p>
        </w:tc>
        <w:tc>
          <w:tcPr>
            <w:tcW w:w="273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rsidP="00033293">
            <w:pPr>
              <w:pStyle w:val="TableParagraph"/>
              <w:kinsoku w:val="0"/>
              <w:overflowPunct w:val="0"/>
              <w:ind w:left="308" w:right="636"/>
            </w:pPr>
            <w:r>
              <w:t>10 pour 3 cm, 40 pour 2 cm</w:t>
            </w:r>
          </w:p>
        </w:tc>
        <w:tc>
          <w:tcPr>
            <w:tcW w:w="2123" w:type="dxa"/>
            <w:tcBorders>
              <w:top w:val="nil"/>
              <w:left w:val="nil"/>
              <w:bottom w:val="nil"/>
              <w:right w:val="nil"/>
            </w:tcBorders>
          </w:tcPr>
          <w:p w:rsidR="00F50386" w:rsidRDefault="00F50386">
            <w:pPr>
              <w:pStyle w:val="TableParagraph"/>
              <w:kinsoku w:val="0"/>
              <w:overflowPunct w:val="0"/>
              <w:spacing w:before="3" w:line="180" w:lineRule="exact"/>
              <w:rPr>
                <w:sz w:val="18"/>
                <w:szCs w:val="18"/>
              </w:rPr>
            </w:pPr>
          </w:p>
          <w:p w:rsidR="00F50386" w:rsidRDefault="00F50386">
            <w:pPr>
              <w:pStyle w:val="TableParagraph"/>
              <w:kinsoku w:val="0"/>
              <w:overflowPunct w:val="0"/>
              <w:spacing w:line="200" w:lineRule="exact"/>
              <w:rPr>
                <w:sz w:val="20"/>
                <w:szCs w:val="20"/>
              </w:rPr>
            </w:pPr>
          </w:p>
          <w:p w:rsidR="00F50386" w:rsidRDefault="00F50386">
            <w:pPr>
              <w:pStyle w:val="TableParagraph"/>
              <w:kinsoku w:val="0"/>
              <w:overflowPunct w:val="0"/>
              <w:ind w:left="458"/>
            </w:pPr>
            <w:r>
              <w:t>CAN/ULC-S102</w:t>
            </w:r>
          </w:p>
        </w:tc>
      </w:tr>
    </w:tbl>
    <w:p w:rsidR="00F50386" w:rsidRDefault="00F50386">
      <w:pPr>
        <w:kinsoku w:val="0"/>
        <w:overflowPunct w:val="0"/>
        <w:spacing w:before="5" w:line="140" w:lineRule="exact"/>
        <w:rPr>
          <w:sz w:val="14"/>
          <w:szCs w:val="14"/>
        </w:rPr>
      </w:pPr>
    </w:p>
    <w:p w:rsidR="00F50386" w:rsidRDefault="00F50386">
      <w:pPr>
        <w:pStyle w:val="BodyText"/>
        <w:kinsoku w:val="0"/>
        <w:overflowPunct w:val="0"/>
        <w:ind w:left="1844" w:firstLine="0"/>
      </w:pPr>
      <w:r>
        <w:t>* Résultats NEMA fondés sur la norme NEMA LD 3.</w:t>
      </w:r>
    </w:p>
    <w:p w:rsidR="00F50386" w:rsidRDefault="00F50386">
      <w:pPr>
        <w:kinsoku w:val="0"/>
        <w:overflowPunct w:val="0"/>
        <w:spacing w:line="240" w:lineRule="exact"/>
      </w:pPr>
    </w:p>
    <w:p w:rsidR="00F50386" w:rsidRDefault="00F50386">
      <w:pPr>
        <w:kinsoku w:val="0"/>
        <w:overflowPunct w:val="0"/>
        <w:ind w:left="188" w:right="188"/>
      </w:pPr>
      <w:r>
        <w:rPr>
          <w:i/>
          <w:iCs/>
        </w:rPr>
        <w:t>REMARQUE : L’utilisation de produits de 2 cm (3/4 po) ou de 3 cm (1-1/4 </w:t>
      </w:r>
      <w:r>
        <w:t>po</w:t>
      </w:r>
      <w:r>
        <w:rPr>
          <w:i/>
          <w:iCs/>
        </w:rPr>
        <w:t>) d’épaisseur est une norme de l’industrie. Communiquer avec le représentant du fabricant pour connaître la taille maximale des panneaux.</w:t>
      </w:r>
    </w:p>
    <w:p w:rsidR="00F50386" w:rsidRDefault="00F50386">
      <w:pPr>
        <w:kinsoku w:val="0"/>
        <w:overflowPunct w:val="0"/>
        <w:spacing w:line="240" w:lineRule="exact"/>
      </w:pPr>
    </w:p>
    <w:p w:rsidR="00F50386" w:rsidRDefault="00F50386">
      <w:pPr>
        <w:pStyle w:val="BodyText"/>
        <w:numPr>
          <w:ilvl w:val="0"/>
          <w:numId w:val="7"/>
        </w:numPr>
        <w:tabs>
          <w:tab w:val="left" w:pos="1267"/>
        </w:tabs>
        <w:kinsoku w:val="0"/>
        <w:overflowPunct w:val="0"/>
        <w:ind w:left="1268"/>
      </w:pPr>
      <w:r>
        <w:t>Matériau massif en quartz :</w:t>
      </w:r>
    </w:p>
    <w:p w:rsidR="00F50386" w:rsidRDefault="00F50386">
      <w:pPr>
        <w:kinsoku w:val="0"/>
        <w:overflowPunct w:val="0"/>
        <w:spacing w:line="240" w:lineRule="exact"/>
      </w:pPr>
    </w:p>
    <w:p w:rsidR="00F50386" w:rsidRDefault="00F50386">
      <w:pPr>
        <w:pStyle w:val="BodyText"/>
        <w:numPr>
          <w:ilvl w:val="0"/>
          <w:numId w:val="6"/>
        </w:numPr>
        <w:tabs>
          <w:tab w:val="left" w:pos="1843"/>
        </w:tabs>
        <w:kinsoku w:val="0"/>
        <w:overflowPunct w:val="0"/>
        <w:ind w:left="1844" w:right="196"/>
        <w:jc w:val="both"/>
      </w:pPr>
      <w:r>
        <w:t>Habituellement, ce matériau est composé de particules de quartz naturel, de monomères et de résines polymérisés, de pigments et d’autres additifs permettant d’améliorer le rendement. Il est fabriqué sous la forme de dalles, dont les différentes épaisseurs sont spécifiées. Les revêtements de quartz sont solides, non poreux et homogènes et présentent des propriétés de résistance, de dureté et de durabilité. Ils répondent aux critères suivants :</w:t>
      </w:r>
    </w:p>
    <w:p w:rsidR="00F50386" w:rsidRDefault="00F50386">
      <w:pPr>
        <w:kinsoku w:val="0"/>
        <w:overflowPunct w:val="0"/>
        <w:spacing w:line="240" w:lineRule="exact"/>
      </w:pPr>
    </w:p>
    <w:p w:rsidR="00F50386" w:rsidRDefault="00F50386" w:rsidP="00033293">
      <w:pPr>
        <w:pStyle w:val="BodyText"/>
        <w:numPr>
          <w:ilvl w:val="1"/>
          <w:numId w:val="6"/>
        </w:numPr>
        <w:tabs>
          <w:tab w:val="left" w:pos="2347"/>
        </w:tabs>
        <w:kinsoku w:val="0"/>
        <w:overflowPunct w:val="0"/>
        <w:ind w:left="2348" w:right="196"/>
      </w:pPr>
      <w:r>
        <w:t>Inflammabilité : indice de propagation de flamme ≤ 5 et indice de pouvoir fumigène ≤ 40 lorsque testé selon la norme CAN/ULC-S102 pour 2 cm (3/4 po); et indice de propagation de flamme 0 et indice de pouvoir fumigène ≤ 10 lorsque testé selon la norme CAN/ULC-S102 pour 3 cm (1-1/4 po).</w:t>
      </w:r>
    </w:p>
    <w:p w:rsidR="00F50386" w:rsidRDefault="00F50386">
      <w:pPr>
        <w:kinsoku w:val="0"/>
        <w:overflowPunct w:val="0"/>
        <w:spacing w:line="240" w:lineRule="exact"/>
      </w:pPr>
    </w:p>
    <w:p w:rsidR="00F50386" w:rsidRDefault="00F50386">
      <w:pPr>
        <w:kinsoku w:val="0"/>
        <w:overflowPunct w:val="0"/>
        <w:ind w:left="188" w:right="194"/>
      </w:pPr>
      <w:r>
        <w:rPr>
          <w:i/>
          <w:iCs/>
        </w:rPr>
        <w:t>REMARQUE : Vérifier la conformité à cette exigence lorsque le produit est utilisé pour la préparation de nourriture et vérifier les exigences des autorités locales.</w:t>
      </w:r>
    </w:p>
    <w:p w:rsidR="00F50386" w:rsidRDefault="00F50386">
      <w:pPr>
        <w:kinsoku w:val="0"/>
        <w:overflowPunct w:val="0"/>
        <w:spacing w:line="240" w:lineRule="exact"/>
      </w:pPr>
    </w:p>
    <w:p w:rsidR="00F50386" w:rsidRDefault="00F50386">
      <w:pPr>
        <w:pStyle w:val="BodyText"/>
        <w:numPr>
          <w:ilvl w:val="1"/>
          <w:numId w:val="6"/>
        </w:numPr>
        <w:tabs>
          <w:tab w:val="left" w:pos="2347"/>
        </w:tabs>
        <w:kinsoku w:val="0"/>
        <w:overflowPunct w:val="0"/>
        <w:ind w:left="2348"/>
      </w:pPr>
      <w:r>
        <w:t>Conformité à la norme Food Equipment Material : Zone alimentaire de la norme NSF/ANSI 51.</w:t>
      </w:r>
    </w:p>
    <w:p w:rsidR="00F50386" w:rsidRDefault="00F50386">
      <w:pPr>
        <w:kinsoku w:val="0"/>
        <w:overflowPunct w:val="0"/>
        <w:spacing w:line="240" w:lineRule="exact"/>
      </w:pPr>
    </w:p>
    <w:p w:rsidR="00F50386" w:rsidRDefault="00F50386" w:rsidP="00266776">
      <w:pPr>
        <w:pStyle w:val="BodyText"/>
        <w:numPr>
          <w:ilvl w:val="0"/>
          <w:numId w:val="6"/>
        </w:numPr>
        <w:tabs>
          <w:tab w:val="left" w:pos="1260"/>
        </w:tabs>
        <w:kinsoku w:val="0"/>
        <w:overflowPunct w:val="0"/>
        <w:ind w:left="1260" w:right="197" w:hanging="540"/>
        <w:jc w:val="both"/>
      </w:pPr>
      <w:r>
        <w:t xml:space="preserve">S’assurer que le matériau présente les propriétés physiques et le rendement minimaux </w:t>
      </w:r>
      <w:r>
        <w:lastRenderedPageBreak/>
        <w:t>précisés sous la section « Critères de rendement et de conception ».</w:t>
      </w:r>
    </w:p>
    <w:p w:rsidR="00F50386" w:rsidRDefault="00F50386">
      <w:pPr>
        <w:kinsoku w:val="0"/>
        <w:overflowPunct w:val="0"/>
        <w:spacing w:line="240" w:lineRule="exact"/>
      </w:pPr>
    </w:p>
    <w:p w:rsidR="00F50386" w:rsidRDefault="00F50386">
      <w:pPr>
        <w:kinsoku w:val="0"/>
        <w:overflowPunct w:val="0"/>
        <w:spacing w:before="12" w:line="200" w:lineRule="exact"/>
        <w:rPr>
          <w:sz w:val="20"/>
          <w:szCs w:val="20"/>
        </w:rPr>
      </w:pPr>
    </w:p>
    <w:p w:rsidR="00F50386" w:rsidRDefault="00F50386">
      <w:pPr>
        <w:pStyle w:val="BodyText"/>
        <w:numPr>
          <w:ilvl w:val="0"/>
          <w:numId w:val="6"/>
        </w:numPr>
        <w:tabs>
          <w:tab w:val="left" w:pos="1275"/>
        </w:tabs>
        <w:kinsoku w:val="0"/>
        <w:overflowPunct w:val="0"/>
        <w:spacing w:before="69"/>
        <w:ind w:left="1276"/>
      </w:pPr>
      <w:r>
        <w:t>Adhésif pour la liaison avec d’autres produits : Silicone à composant unique selon la norme ASTM C920.</w:t>
      </w:r>
    </w:p>
    <w:p w:rsidR="00F50386" w:rsidRDefault="00F50386">
      <w:pPr>
        <w:kinsoku w:val="0"/>
        <w:overflowPunct w:val="0"/>
        <w:spacing w:before="5" w:line="200" w:lineRule="exact"/>
        <w:rPr>
          <w:sz w:val="20"/>
          <w:szCs w:val="20"/>
        </w:rPr>
      </w:pPr>
    </w:p>
    <w:p w:rsidR="00F50386" w:rsidRDefault="00F50386">
      <w:pPr>
        <w:pStyle w:val="BodyText"/>
        <w:numPr>
          <w:ilvl w:val="0"/>
          <w:numId w:val="6"/>
        </w:numPr>
        <w:tabs>
          <w:tab w:val="left" w:pos="1275"/>
        </w:tabs>
        <w:kinsoku w:val="0"/>
        <w:overflowPunct w:val="0"/>
        <w:ind w:left="1276" w:right="185"/>
        <w:jc w:val="both"/>
      </w:pPr>
      <w:r>
        <w:t>Scellant : Un mastic silicone reconnu, résistant à la moisissure FDA/UL,</w:t>
      </w:r>
      <w:r>
        <w:rPr>
          <w:sz w:val="16"/>
          <w:szCs w:val="16"/>
        </w:rPr>
        <w:t xml:space="preserve"> </w:t>
      </w:r>
      <w:r>
        <w:t>[and NSF/ANSI 51 compliant in Food Zone area,] transparent ou de couleur assortie.</w:t>
      </w:r>
    </w:p>
    <w:p w:rsidR="00F50386" w:rsidRDefault="00F50386">
      <w:pPr>
        <w:kinsoku w:val="0"/>
        <w:overflowPunct w:val="0"/>
        <w:spacing w:line="240" w:lineRule="exact"/>
      </w:pPr>
    </w:p>
    <w:p w:rsidR="00F50386" w:rsidRDefault="00F50386">
      <w:pPr>
        <w:kinsoku w:val="0"/>
        <w:overflowPunct w:val="0"/>
        <w:ind w:left="196" w:right="2854"/>
        <w:jc w:val="both"/>
      </w:pPr>
      <w:r>
        <w:rPr>
          <w:i/>
          <w:iCs/>
        </w:rPr>
        <w:t>REMARQUE : Consulter le paragraphe suivant pour les éviers à montage sous plan.</w:t>
      </w:r>
    </w:p>
    <w:p w:rsidR="00F50386" w:rsidRDefault="00F50386">
      <w:pPr>
        <w:kinsoku w:val="0"/>
        <w:overflowPunct w:val="0"/>
        <w:spacing w:line="240" w:lineRule="exact"/>
      </w:pPr>
    </w:p>
    <w:p w:rsidR="00F50386" w:rsidRDefault="00F50386">
      <w:pPr>
        <w:pStyle w:val="BodyText"/>
        <w:numPr>
          <w:ilvl w:val="0"/>
          <w:numId w:val="6"/>
        </w:numPr>
        <w:tabs>
          <w:tab w:val="left" w:pos="1275"/>
        </w:tabs>
        <w:kinsoku w:val="0"/>
        <w:overflowPunct w:val="0"/>
        <w:ind w:left="1276" w:right="188"/>
        <w:jc w:val="both"/>
      </w:pPr>
      <w:r>
        <w:t>Matériel de montage des éviers : Attaches, dispositifs de fixation et chevilles en laiton approuvés par le fabricant pour l’installation d’éviers à montage sous plan.</w:t>
      </w:r>
    </w:p>
    <w:p w:rsidR="00F50386" w:rsidRDefault="00F50386">
      <w:pPr>
        <w:kinsoku w:val="0"/>
        <w:overflowPunct w:val="0"/>
        <w:spacing w:line="240" w:lineRule="exact"/>
      </w:pPr>
    </w:p>
    <w:p w:rsidR="00F50386" w:rsidRDefault="00F50386">
      <w:pPr>
        <w:kinsoku w:val="0"/>
        <w:overflowPunct w:val="0"/>
        <w:ind w:left="196" w:right="598"/>
        <w:jc w:val="both"/>
      </w:pPr>
      <w:r>
        <w:rPr>
          <w:i/>
          <w:iCs/>
        </w:rPr>
        <w:t>REMARQUE : Vérifier si les découpes sont situées près d’une source de chaleur; si ce n’est pas le cas, effacer les deux paragraphes suivants.</w:t>
      </w:r>
    </w:p>
    <w:p w:rsidR="00F50386" w:rsidRDefault="00F50386">
      <w:pPr>
        <w:kinsoku w:val="0"/>
        <w:overflowPunct w:val="0"/>
        <w:spacing w:line="240" w:lineRule="exact"/>
      </w:pPr>
    </w:p>
    <w:p w:rsidR="00F50386" w:rsidRDefault="00F50386">
      <w:pPr>
        <w:pStyle w:val="BodyText"/>
        <w:numPr>
          <w:ilvl w:val="0"/>
          <w:numId w:val="6"/>
        </w:numPr>
        <w:tabs>
          <w:tab w:val="left" w:pos="1275"/>
        </w:tabs>
        <w:kinsoku w:val="0"/>
        <w:overflowPunct w:val="0"/>
        <w:ind w:left="1276" w:right="190"/>
        <w:jc w:val="both"/>
      </w:pPr>
      <w:r>
        <w:t>Ruban adhésif réfléchissant la chaleur : Ruban en aluminium standard du fabricant de l’épaisseur nécessaire, pour utilisation avec les découpes près de sources de chaleur.</w:t>
      </w:r>
    </w:p>
    <w:p w:rsidR="00F50386" w:rsidRDefault="00F50386">
      <w:pPr>
        <w:kinsoku w:val="0"/>
        <w:overflowPunct w:val="0"/>
        <w:spacing w:before="5" w:line="200" w:lineRule="exact"/>
        <w:rPr>
          <w:sz w:val="20"/>
          <w:szCs w:val="20"/>
        </w:rPr>
      </w:pPr>
    </w:p>
    <w:p w:rsidR="00F50386" w:rsidRDefault="00F50386">
      <w:pPr>
        <w:pStyle w:val="BodyText"/>
        <w:numPr>
          <w:ilvl w:val="0"/>
          <w:numId w:val="6"/>
        </w:numPr>
        <w:tabs>
          <w:tab w:val="left" w:pos="1275"/>
        </w:tabs>
        <w:kinsoku w:val="0"/>
        <w:overflowPunct w:val="0"/>
        <w:ind w:left="1276" w:right="187"/>
        <w:jc w:val="both"/>
      </w:pPr>
      <w:r>
        <w:t>Tissu isolant Nomex</w:t>
      </w:r>
      <w:r>
        <w:rPr>
          <w:sz w:val="16"/>
          <w:szCs w:val="16"/>
        </w:rPr>
        <w:t>md</w:t>
      </w:r>
      <w:r>
        <w:t> : Ruban standard du fabricant pour utilisation avec le ruban conducteur, afin d’isoler le matériau de surface des sources de chaleur adjacentes.</w:t>
      </w:r>
    </w:p>
    <w:p w:rsidR="00F50386" w:rsidRDefault="00F50386">
      <w:pPr>
        <w:kinsoku w:val="0"/>
        <w:overflowPunct w:val="0"/>
        <w:spacing w:line="240" w:lineRule="exact"/>
      </w:pPr>
    </w:p>
    <w:p w:rsidR="00F50386" w:rsidRDefault="00F50386">
      <w:pPr>
        <w:pStyle w:val="BodyText"/>
        <w:numPr>
          <w:ilvl w:val="1"/>
          <w:numId w:val="5"/>
        </w:numPr>
        <w:tabs>
          <w:tab w:val="left" w:pos="1276"/>
        </w:tabs>
        <w:kinsoku w:val="0"/>
        <w:overflowPunct w:val="0"/>
        <w:ind w:left="1276" w:right="7417"/>
        <w:jc w:val="both"/>
      </w:pPr>
      <w:r>
        <w:t>COMPOSANTS</w:t>
      </w:r>
    </w:p>
    <w:p w:rsidR="00F50386" w:rsidRDefault="00F50386">
      <w:pPr>
        <w:kinsoku w:val="0"/>
        <w:overflowPunct w:val="0"/>
        <w:spacing w:line="240" w:lineRule="exact"/>
      </w:pPr>
    </w:p>
    <w:p w:rsidR="00F50386" w:rsidRDefault="00F50386">
      <w:pPr>
        <w:pStyle w:val="BodyText"/>
        <w:numPr>
          <w:ilvl w:val="2"/>
          <w:numId w:val="5"/>
        </w:numPr>
        <w:tabs>
          <w:tab w:val="left" w:pos="1275"/>
        </w:tabs>
        <w:kinsoku w:val="0"/>
        <w:overflowPunct w:val="0"/>
        <w:ind w:left="1276" w:right="188"/>
        <w:jc w:val="both"/>
      </w:pPr>
      <w:r>
        <w:t>Rebords de fenêtres : Matériau massif en quartz de 2 cm (3/4 po) d’épaisseur, collé avec des joints d’une épaisseur recommandée d’au plus 3 mm (1/8 po), dans un résultat final présentant des bordures dont les détails sont conformes aux dessins. La couleur sera sélectionnée plus tard par le conseiller parmi la gamme complète de couleurs offertes par le fabricant.</w:t>
      </w:r>
    </w:p>
    <w:p w:rsidR="00F50386" w:rsidRDefault="00F50386">
      <w:pPr>
        <w:kinsoku w:val="0"/>
        <w:overflowPunct w:val="0"/>
        <w:spacing w:before="3" w:line="240" w:lineRule="exact"/>
      </w:pPr>
    </w:p>
    <w:p w:rsidR="00BE3DB3" w:rsidRPr="00315084" w:rsidRDefault="00F50386">
      <w:pPr>
        <w:pStyle w:val="BodyText"/>
        <w:numPr>
          <w:ilvl w:val="2"/>
          <w:numId w:val="5"/>
        </w:numPr>
        <w:tabs>
          <w:tab w:val="left" w:pos="1275"/>
        </w:tabs>
        <w:kinsoku w:val="0"/>
        <w:overflowPunct w:val="0"/>
        <w:spacing w:line="276" w:lineRule="exact"/>
        <w:ind w:left="1276" w:right="186"/>
        <w:jc w:val="both"/>
      </w:pPr>
      <w:r>
        <w:t>Cadre de la structure de soutien : Le revêtement massif en quartz doit reposer sur un cadre solide de grand périmètre. Un support structurel est requis pour soutenir le poids du matériau massif en quartz et des accessoires déposés sur la surface. Les matériaux à utiliser dans un tel support peuvent figurer dans les codes locaux. Habituellement, il s’agit de caissons ou de structures de bois, de contreplaqué ou d’acier. Le matériau utilisé doit être résistant à l’humidité. Les panneaux de particules ne constituent pas un matériau de support adéquat.</w:t>
      </w:r>
    </w:p>
    <w:p w:rsidR="00BE3DB3" w:rsidRPr="00315084" w:rsidRDefault="00BE3DB3" w:rsidP="00BE3DB3">
      <w:pPr>
        <w:pStyle w:val="ListParagraph"/>
        <w:rPr>
          <w:spacing w:val="-1"/>
        </w:rPr>
      </w:pPr>
    </w:p>
    <w:p w:rsidR="00B80B77" w:rsidRPr="00315084" w:rsidRDefault="00BE3DB3" w:rsidP="00B80B77">
      <w:pPr>
        <w:pStyle w:val="BodyText"/>
        <w:numPr>
          <w:ilvl w:val="2"/>
          <w:numId w:val="5"/>
        </w:numPr>
        <w:tabs>
          <w:tab w:val="left" w:pos="1275"/>
        </w:tabs>
        <w:kinsoku w:val="0"/>
        <w:overflowPunct w:val="0"/>
        <w:spacing w:line="276" w:lineRule="exact"/>
        <w:ind w:left="1276" w:right="186"/>
        <w:jc w:val="both"/>
      </w:pPr>
      <w:r>
        <w:t xml:space="preserve"> Joints de la structure de soutien :  Les joints du revêtement massif en quartz doivent être faits sur un support structurel. Ce support structurel doit reposer, de niveau, sur un élément de l’infrastructure. Les matériaux à utiliser dans un tel support peuvent figurer dans les codes locaux. Habituellement, il s’agit de caissons ou de structures de bois, de contreplaqué ou d’acier. Le matériau de sous-finition utilisé doit être résistant à l’humidité. Les panneaux de particules ne constituent pas un matériau de support adéquat. </w:t>
      </w:r>
    </w:p>
    <w:p w:rsidR="00F50386" w:rsidRDefault="00F50386">
      <w:pPr>
        <w:kinsoku w:val="0"/>
        <w:overflowPunct w:val="0"/>
        <w:spacing w:line="240" w:lineRule="exact"/>
      </w:pPr>
    </w:p>
    <w:p w:rsidR="00F50386" w:rsidRDefault="00F50386">
      <w:pPr>
        <w:kinsoku w:val="0"/>
        <w:overflowPunct w:val="0"/>
        <w:spacing w:line="276" w:lineRule="exact"/>
        <w:ind w:left="196" w:right="186"/>
        <w:jc w:val="both"/>
      </w:pPr>
      <w:r>
        <w:rPr>
          <w:i/>
          <w:iCs/>
        </w:rPr>
        <w:t xml:space="preserve">REMARQUE : Consulter les bulletins techniques suivants : Z-2006-002 Z-1, sur la fabrication et les exigences relatives à l’installation des revêtements de quartz Zodiaqmd de DuPontmc; Z-2007-001, </w:t>
      </w:r>
      <w:r>
        <w:rPr>
          <w:i/>
          <w:iCs/>
        </w:rPr>
        <w:lastRenderedPageBreak/>
        <w:t>sur le service alimentaire de type commercial; K-25296, sur les éviers et les lavabos; K-27499, sur la position du lavabo DuPontmc Corian</w:t>
      </w:r>
      <w:r>
        <w:rPr>
          <w:i/>
          <w:iCs/>
          <w:sz w:val="16"/>
          <w:szCs w:val="16"/>
        </w:rPr>
        <w:t xml:space="preserve">md </w:t>
      </w:r>
      <w:r>
        <w:rPr>
          <w:i/>
          <w:iCs/>
        </w:rPr>
        <w:t>pour la conformité à l’ADA; K-27500, sur l’intégration d’un évier à montage sous plan DuPontmc Corian</w:t>
      </w:r>
      <w:r>
        <w:rPr>
          <w:i/>
          <w:iCs/>
          <w:sz w:val="16"/>
          <w:szCs w:val="16"/>
        </w:rPr>
        <w:t xml:space="preserve">md </w:t>
      </w:r>
      <w:r>
        <w:rPr>
          <w:i/>
          <w:iCs/>
        </w:rPr>
        <w:t>à un comptoir ou un meuble-lavabo DuPontmc Zodiaq</w:t>
      </w:r>
      <w:r>
        <w:rPr>
          <w:i/>
          <w:iCs/>
          <w:sz w:val="16"/>
          <w:szCs w:val="16"/>
        </w:rPr>
        <w:t xml:space="preserve">md </w:t>
      </w:r>
      <w:r>
        <w:rPr>
          <w:i/>
          <w:iCs/>
        </w:rPr>
        <w:t>.</w:t>
      </w:r>
    </w:p>
    <w:p w:rsidR="00F50386" w:rsidRDefault="00F50386">
      <w:pPr>
        <w:kinsoku w:val="0"/>
        <w:overflowPunct w:val="0"/>
        <w:spacing w:before="17" w:line="220" w:lineRule="exact"/>
        <w:rPr>
          <w:sz w:val="22"/>
          <w:szCs w:val="22"/>
        </w:rPr>
      </w:pPr>
    </w:p>
    <w:p w:rsidR="00F50386" w:rsidRDefault="00F50386">
      <w:pPr>
        <w:kinsoku w:val="0"/>
        <w:overflowPunct w:val="0"/>
        <w:ind w:left="196" w:right="189"/>
        <w:jc w:val="both"/>
      </w:pPr>
      <w:r>
        <w:rPr>
          <w:i/>
          <w:iCs/>
        </w:rPr>
        <w:t>REMARQUE : Sélectionner la couleur désirée dans le dernier catalogue du fabricant ou indiquer que les couleurs seront sélectionnées plus tard par le conseiller (vérifier s’il y a une incidence sur les coûts en raison de la variation des couleurs).</w:t>
      </w:r>
    </w:p>
    <w:p w:rsidR="00F50386" w:rsidRDefault="00F50386">
      <w:pPr>
        <w:kinsoku w:val="0"/>
        <w:overflowPunct w:val="0"/>
        <w:spacing w:line="240" w:lineRule="exact"/>
      </w:pPr>
    </w:p>
    <w:p w:rsidR="00F50386" w:rsidRDefault="00F50386" w:rsidP="006D472C">
      <w:pPr>
        <w:pStyle w:val="BodyText"/>
        <w:numPr>
          <w:ilvl w:val="2"/>
          <w:numId w:val="5"/>
        </w:numPr>
        <w:tabs>
          <w:tab w:val="left" w:pos="1275"/>
        </w:tabs>
        <w:kinsoku w:val="0"/>
        <w:overflowPunct w:val="0"/>
        <w:ind w:left="1276" w:right="184"/>
        <w:jc w:val="both"/>
      </w:pPr>
      <w:r>
        <w:t xml:space="preserve">Comptoirs de lavabo avec éviers avec joint solide : [2 cm (3/4")] [3cm (1-1/4")] Un revêtement de quartz épais de (2 cm [3/4 po]) (3 cm [1-1/4 po]), moulé selon le profil et le format désirés et dont les détails de bordure sont indiqués sur les dessins, en conformité avec les normes CSA B45.5/IAPMO Z124, et un évier à montage sous plan avec joint. Fournir des comptoirs avec des dosserets dont le format est indiqué sur les dessins. S’assurer que les éviers[s] sont de [ ] modèle () [ ] et de couleur (). Sélectionner la couleur désirée dans    </w:t>
      </w:r>
    </w:p>
    <w:p w:rsidR="00F50386" w:rsidRDefault="00A96EB8">
      <w:pPr>
        <w:pStyle w:val="BodyText"/>
        <w:kinsoku w:val="0"/>
        <w:overflowPunct w:val="0"/>
        <w:spacing w:before="69"/>
        <w:ind w:left="1268" w:right="187" w:firstLine="0"/>
      </w:pPr>
      <w:r>
        <w:t>le dernier catalogue du fabricant ou indiquer que les couleurs seront sélectionnées plus tard par le conseiller. (Vérifier s’il y a une incidence sur les coûts en raison de la variation des couleurs.)</w:t>
      </w:r>
    </w:p>
    <w:p w:rsidR="00F50386" w:rsidRDefault="00F50386">
      <w:pPr>
        <w:kinsoku w:val="0"/>
        <w:overflowPunct w:val="0"/>
        <w:spacing w:line="240" w:lineRule="exact"/>
      </w:pPr>
    </w:p>
    <w:p w:rsidR="00F50386" w:rsidRDefault="00F50386">
      <w:pPr>
        <w:pStyle w:val="BodyText"/>
        <w:numPr>
          <w:ilvl w:val="2"/>
          <w:numId w:val="5"/>
        </w:numPr>
        <w:tabs>
          <w:tab w:val="left" w:pos="1267"/>
        </w:tabs>
        <w:kinsoku w:val="0"/>
        <w:overflowPunct w:val="0"/>
        <w:ind w:left="1268" w:right="193"/>
        <w:jc w:val="both"/>
      </w:pPr>
      <w:r>
        <w:t>Comptoirs de lavabo avec évier à montage sous plan : [2 cm (3/4")] [3cm (1-1/4")] Un revêtement massif de quartz, épais de (2 cm [3/4 po]) (3 cm [1-1/4 po]), moulé selon le profil et le format désirés et dont les détails de bordure sont indiqués sur les dessins, en conformité avec les normes CSA B45.5/IAPMO Z124, et un [1] évier à montage sous plan. Fournir des comptoirs avec des dosserets dont le format est indiqué sur les dessins. Utiliser le matériel de montage sous plan selon les instructions du fabricant. S’assurer que les éviers[s] sont de [ ] modèle () [ ] et de couleur ().</w:t>
      </w:r>
    </w:p>
    <w:p w:rsidR="00F50386" w:rsidRDefault="00F50386">
      <w:pPr>
        <w:kinsoku w:val="0"/>
        <w:overflowPunct w:val="0"/>
        <w:spacing w:before="3" w:line="240" w:lineRule="exact"/>
      </w:pPr>
    </w:p>
    <w:p w:rsidR="00F50386" w:rsidRDefault="00F50386">
      <w:pPr>
        <w:kinsoku w:val="0"/>
        <w:overflowPunct w:val="0"/>
        <w:spacing w:line="276" w:lineRule="exact"/>
        <w:ind w:left="188" w:right="195"/>
      </w:pPr>
      <w:r>
        <w:rPr>
          <w:i/>
          <w:iCs/>
        </w:rPr>
        <w:t>REMARQUE : Se référer au bulletin technique K-28989 Unité de charge individuelle Corian</w:t>
      </w:r>
      <w:r>
        <w:rPr>
          <w:i/>
          <w:iCs/>
          <w:sz w:val="16"/>
          <w:szCs w:val="16"/>
        </w:rPr>
        <w:t xml:space="preserve">md </w:t>
      </w:r>
      <w:r>
        <w:rPr>
          <w:i/>
          <w:iCs/>
        </w:rPr>
        <w:t>de DuPontmc : installation avec Zodiaq</w:t>
      </w:r>
      <w:r>
        <w:rPr>
          <w:i/>
          <w:iCs/>
          <w:sz w:val="16"/>
          <w:szCs w:val="16"/>
        </w:rPr>
        <w:t>md</w:t>
      </w:r>
    </w:p>
    <w:p w:rsidR="00F50386" w:rsidRDefault="00F50386">
      <w:pPr>
        <w:kinsoku w:val="0"/>
        <w:overflowPunct w:val="0"/>
        <w:spacing w:before="17" w:line="220" w:lineRule="exact"/>
        <w:rPr>
          <w:sz w:val="22"/>
          <w:szCs w:val="22"/>
        </w:rPr>
      </w:pPr>
    </w:p>
    <w:p w:rsidR="00F50386" w:rsidRDefault="00F50386">
      <w:pPr>
        <w:pStyle w:val="BodyText"/>
        <w:numPr>
          <w:ilvl w:val="2"/>
          <w:numId w:val="5"/>
        </w:numPr>
        <w:tabs>
          <w:tab w:val="left" w:pos="1267"/>
        </w:tabs>
        <w:kinsoku w:val="0"/>
        <w:overflowPunct w:val="0"/>
        <w:ind w:left="1268" w:right="197"/>
        <w:jc w:val="both"/>
      </w:pPr>
      <w:r>
        <w:t>Unité de charge sans fil : Un système complet, autonome, avec un transmetteur bimode individuel conforme aux normes des technologies PMA et WPC Qi.</w:t>
      </w:r>
    </w:p>
    <w:p w:rsidR="00F50386" w:rsidRDefault="00F50386">
      <w:pPr>
        <w:kinsoku w:val="0"/>
        <w:overflowPunct w:val="0"/>
        <w:spacing w:before="5" w:line="200" w:lineRule="exact"/>
        <w:rPr>
          <w:sz w:val="20"/>
          <w:szCs w:val="20"/>
        </w:rPr>
      </w:pPr>
    </w:p>
    <w:p w:rsidR="00F50386" w:rsidRDefault="00F50386">
      <w:pPr>
        <w:pStyle w:val="BodyText"/>
        <w:tabs>
          <w:tab w:val="left" w:pos="1843"/>
        </w:tabs>
        <w:kinsoku w:val="0"/>
        <w:overflowPunct w:val="0"/>
        <w:ind w:left="1268" w:firstLine="0"/>
      </w:pPr>
      <w:r>
        <w:t>.1</w:t>
      </w:r>
      <w:r>
        <w:tab/>
        <w:t>Produit applicable : Unité de charge individuelle Zodiaq</w:t>
      </w:r>
      <w:r>
        <w:rPr>
          <w:sz w:val="16"/>
          <w:szCs w:val="16"/>
        </w:rPr>
        <w:t xml:space="preserve">md </w:t>
      </w:r>
      <w:r>
        <w:t>de DuPontmc.</w:t>
      </w:r>
    </w:p>
    <w:p w:rsidR="00F50386" w:rsidRDefault="00F50386">
      <w:pPr>
        <w:kinsoku w:val="0"/>
        <w:overflowPunct w:val="0"/>
        <w:spacing w:line="240" w:lineRule="exact"/>
      </w:pPr>
    </w:p>
    <w:p w:rsidR="00F50386" w:rsidRDefault="00F50386">
      <w:pPr>
        <w:pStyle w:val="BodyText"/>
        <w:numPr>
          <w:ilvl w:val="2"/>
          <w:numId w:val="5"/>
        </w:numPr>
        <w:tabs>
          <w:tab w:val="left" w:pos="1267"/>
        </w:tabs>
        <w:kinsoku w:val="0"/>
        <w:overflowPunct w:val="0"/>
        <w:ind w:left="1268"/>
      </w:pPr>
      <w:r>
        <w:t>Fabrication :</w:t>
      </w:r>
    </w:p>
    <w:p w:rsidR="00F50386" w:rsidRDefault="00F50386">
      <w:pPr>
        <w:kinsoku w:val="0"/>
        <w:overflowPunct w:val="0"/>
        <w:spacing w:line="240" w:lineRule="exact"/>
      </w:pPr>
    </w:p>
    <w:p w:rsidR="00F50386" w:rsidRDefault="00F50386">
      <w:pPr>
        <w:pStyle w:val="BodyText"/>
        <w:numPr>
          <w:ilvl w:val="3"/>
          <w:numId w:val="5"/>
        </w:numPr>
        <w:tabs>
          <w:tab w:val="left" w:pos="1843"/>
        </w:tabs>
        <w:kinsoku w:val="0"/>
        <w:overflowPunct w:val="0"/>
        <w:ind w:left="1844" w:right="193"/>
        <w:jc w:val="both"/>
      </w:pPr>
      <w:r>
        <w:t>Fabriquer les pièces en usine dans la plus grande mesure possible, aux dimensions et aux formes indiquées, conformément aux dessins d’atelier approuvés et aux instructions du fabricant de revêtements en quartz. En usine, faire les découpes nécessaires pour l’installation des raccords de plomberie et des accessoires de bain, comme indiqué sur les dessins.</w:t>
      </w:r>
    </w:p>
    <w:p w:rsidR="00F50386" w:rsidRDefault="00F50386">
      <w:pPr>
        <w:kinsoku w:val="0"/>
        <w:overflowPunct w:val="0"/>
        <w:spacing w:line="240" w:lineRule="exact"/>
      </w:pPr>
    </w:p>
    <w:p w:rsidR="00F50386" w:rsidRDefault="00F50386">
      <w:pPr>
        <w:pStyle w:val="BodyText"/>
        <w:numPr>
          <w:ilvl w:val="3"/>
          <w:numId w:val="5"/>
        </w:numPr>
        <w:tabs>
          <w:tab w:val="left" w:pos="1843"/>
        </w:tabs>
        <w:kinsoku w:val="0"/>
        <w:overflowPunct w:val="0"/>
        <w:ind w:left="1844"/>
      </w:pPr>
      <w:r>
        <w:t>Jointer les pièces à l’aide de la colle à joint standard du fabricant.</w:t>
      </w:r>
    </w:p>
    <w:p w:rsidR="00F50386" w:rsidRDefault="00F50386">
      <w:pPr>
        <w:pStyle w:val="BodyText"/>
        <w:kinsoku w:val="0"/>
        <w:overflowPunct w:val="0"/>
        <w:ind w:left="1844" w:firstLine="0"/>
      </w:pPr>
      <w:r>
        <w:t>S’assurer que les joints sont aussi discrets que possible et qu’ils sont exempts de cavités.</w:t>
      </w:r>
    </w:p>
    <w:p w:rsidR="00F50386" w:rsidRDefault="00F50386">
      <w:pPr>
        <w:kinsoku w:val="0"/>
        <w:overflowPunct w:val="0"/>
        <w:spacing w:line="240" w:lineRule="exact"/>
      </w:pPr>
    </w:p>
    <w:p w:rsidR="00F50386" w:rsidRDefault="00F50386">
      <w:pPr>
        <w:pStyle w:val="BodyText"/>
        <w:numPr>
          <w:ilvl w:val="3"/>
          <w:numId w:val="5"/>
        </w:numPr>
        <w:tabs>
          <w:tab w:val="left" w:pos="1843"/>
        </w:tabs>
        <w:kinsoku w:val="0"/>
        <w:overflowPunct w:val="0"/>
        <w:ind w:left="1844" w:right="196"/>
      </w:pPr>
      <w:r>
        <w:t xml:space="preserve">Faire les trous et les découpes nécessaires pour l’installation de la plomberie et des </w:t>
      </w:r>
      <w:r>
        <w:lastRenderedPageBreak/>
        <w:t>accessoires de bain, comme indiqué sur les dessins.</w:t>
      </w:r>
    </w:p>
    <w:p w:rsidR="00F50386" w:rsidRDefault="00F50386">
      <w:pPr>
        <w:kinsoku w:val="0"/>
        <w:overflowPunct w:val="0"/>
        <w:spacing w:line="240" w:lineRule="exact"/>
      </w:pPr>
    </w:p>
    <w:p w:rsidR="00F50386" w:rsidRDefault="00F50386">
      <w:pPr>
        <w:pStyle w:val="BodyText"/>
        <w:numPr>
          <w:ilvl w:val="3"/>
          <w:numId w:val="5"/>
        </w:numPr>
        <w:tabs>
          <w:tab w:val="left" w:pos="1843"/>
        </w:tabs>
        <w:kinsoku w:val="0"/>
        <w:overflowPunct w:val="0"/>
        <w:ind w:left="1844" w:right="198"/>
      </w:pPr>
      <w:r>
        <w:t>Détourer et finir les bordures des composants de manière à ce que la finition soit lisse et uniforme. Détourer les découpes et sabler les bordures jusqu’à ce qu’elles soient lisses. Réparer ou rejeter les travaux défectueux ou inexacts.</w:t>
      </w:r>
    </w:p>
    <w:p w:rsidR="00F50386" w:rsidRDefault="00F50386">
      <w:pPr>
        <w:kinsoku w:val="0"/>
        <w:overflowPunct w:val="0"/>
        <w:spacing w:line="240" w:lineRule="exact"/>
      </w:pPr>
    </w:p>
    <w:p w:rsidR="00F50386" w:rsidRDefault="00F50386">
      <w:pPr>
        <w:kinsoku w:val="0"/>
        <w:overflowPunct w:val="0"/>
        <w:ind w:left="188"/>
      </w:pPr>
      <w:r>
        <w:rPr>
          <w:i/>
          <w:iCs/>
        </w:rPr>
        <w:t>REMARQUE : Sélectionner la définition désirée et, dans le cas où plus d’une finition est nécessaire, s’assurer que l’emplacement des différentes finitions est bien défini sur les dessins.</w:t>
      </w:r>
    </w:p>
    <w:p w:rsidR="00F50386" w:rsidRDefault="00F50386">
      <w:pPr>
        <w:kinsoku w:val="0"/>
        <w:overflowPunct w:val="0"/>
        <w:spacing w:line="240" w:lineRule="exact"/>
      </w:pPr>
    </w:p>
    <w:p w:rsidR="00F50386" w:rsidRDefault="00F50386">
      <w:pPr>
        <w:pStyle w:val="BodyText"/>
        <w:numPr>
          <w:ilvl w:val="3"/>
          <w:numId w:val="5"/>
        </w:numPr>
        <w:tabs>
          <w:tab w:val="left" w:pos="1843"/>
        </w:tabs>
        <w:kinsoku w:val="0"/>
        <w:overflowPunct w:val="0"/>
        <w:ind w:left="1844"/>
      </w:pPr>
      <w:r>
        <w:t>Finition : S’assurer que la finition des surfaces est uniforme.</w:t>
      </w:r>
    </w:p>
    <w:p w:rsidR="00F50386" w:rsidRDefault="00F50386">
      <w:pPr>
        <w:kinsoku w:val="0"/>
        <w:overflowPunct w:val="0"/>
        <w:spacing w:line="240" w:lineRule="exact"/>
      </w:pPr>
    </w:p>
    <w:p w:rsidR="00F50386" w:rsidRDefault="00F50386">
      <w:pPr>
        <w:kinsoku w:val="0"/>
        <w:overflowPunct w:val="0"/>
        <w:ind w:left="188"/>
      </w:pPr>
      <w:r>
        <w:rPr>
          <w:i/>
          <w:iCs/>
        </w:rPr>
        <w:t>REMARQUE : Ce qui suit est la finition standard.</w:t>
      </w:r>
    </w:p>
    <w:p w:rsidR="00F50386" w:rsidRDefault="00F50386">
      <w:pPr>
        <w:kinsoku w:val="0"/>
        <w:overflowPunct w:val="0"/>
        <w:spacing w:line="240" w:lineRule="exact"/>
      </w:pPr>
    </w:p>
    <w:p w:rsidR="00F50386" w:rsidRPr="009C644C" w:rsidRDefault="00F50386">
      <w:pPr>
        <w:pStyle w:val="BodyText"/>
        <w:tabs>
          <w:tab w:val="left" w:pos="2347"/>
        </w:tabs>
        <w:kinsoku w:val="0"/>
        <w:overflowPunct w:val="0"/>
        <w:ind w:left="1844" w:firstLine="0"/>
      </w:pPr>
      <w:r>
        <w:t>.1</w:t>
      </w:r>
      <w:r>
        <w:tab/>
        <w:t>Un niveau de lustre &gt; 45 est habituel.</w:t>
      </w:r>
    </w:p>
    <w:p w:rsidR="00F50386" w:rsidRPr="009C644C" w:rsidRDefault="00F50386">
      <w:pPr>
        <w:kinsoku w:val="0"/>
        <w:overflowPunct w:val="0"/>
        <w:spacing w:line="240" w:lineRule="exact"/>
      </w:pPr>
    </w:p>
    <w:p w:rsidR="00F50386" w:rsidRDefault="00F50386">
      <w:pPr>
        <w:pStyle w:val="BodyText"/>
        <w:numPr>
          <w:ilvl w:val="3"/>
          <w:numId w:val="5"/>
        </w:numPr>
        <w:tabs>
          <w:tab w:val="left" w:pos="1843"/>
        </w:tabs>
        <w:kinsoku w:val="0"/>
        <w:overflowPunct w:val="0"/>
        <w:ind w:left="1844"/>
      </w:pPr>
      <w:r>
        <w:t>Tolérances relatives à la fabrication :</w:t>
      </w:r>
    </w:p>
    <w:p w:rsidR="00F50386" w:rsidRDefault="00F50386">
      <w:pPr>
        <w:kinsoku w:val="0"/>
        <w:overflowPunct w:val="0"/>
        <w:spacing w:line="240" w:lineRule="exact"/>
      </w:pPr>
    </w:p>
    <w:p w:rsidR="00F50386" w:rsidRDefault="00F50386">
      <w:pPr>
        <w:pStyle w:val="BodyText"/>
        <w:numPr>
          <w:ilvl w:val="4"/>
          <w:numId w:val="5"/>
        </w:numPr>
        <w:tabs>
          <w:tab w:val="left" w:pos="2347"/>
        </w:tabs>
        <w:kinsoku w:val="0"/>
        <w:overflowPunct w:val="0"/>
        <w:ind w:left="2348"/>
      </w:pPr>
      <w:r>
        <w:t>Variation dans la taille du composant : ± 3 mm (1/8 po).</w:t>
      </w:r>
    </w:p>
    <w:p w:rsidR="00F50386" w:rsidRDefault="00F50386">
      <w:pPr>
        <w:kinsoku w:val="0"/>
        <w:overflowPunct w:val="0"/>
        <w:spacing w:before="12" w:line="200" w:lineRule="exact"/>
        <w:rPr>
          <w:sz w:val="20"/>
          <w:szCs w:val="20"/>
        </w:rPr>
      </w:pPr>
    </w:p>
    <w:p w:rsidR="00F50386" w:rsidRDefault="00F50386">
      <w:pPr>
        <w:pStyle w:val="BodyText"/>
        <w:numPr>
          <w:ilvl w:val="4"/>
          <w:numId w:val="5"/>
        </w:numPr>
        <w:tabs>
          <w:tab w:val="left" w:pos="2355"/>
        </w:tabs>
        <w:kinsoku w:val="0"/>
        <w:overflowPunct w:val="0"/>
        <w:spacing w:before="69"/>
        <w:ind w:left="2356"/>
      </w:pPr>
      <w:r>
        <w:t>Emplacement des ouvertures : ± 3 mm (1/8 po) de l’emplacement indiqué.</w:t>
      </w:r>
    </w:p>
    <w:p w:rsidR="00F50386" w:rsidRDefault="00F50386">
      <w:pPr>
        <w:kinsoku w:val="0"/>
        <w:overflowPunct w:val="0"/>
        <w:spacing w:line="200" w:lineRule="exact"/>
        <w:rPr>
          <w:sz w:val="20"/>
          <w:szCs w:val="20"/>
        </w:rPr>
      </w:pPr>
    </w:p>
    <w:p w:rsidR="00F50386" w:rsidRDefault="00F50386">
      <w:pPr>
        <w:kinsoku w:val="0"/>
        <w:overflowPunct w:val="0"/>
        <w:spacing w:before="11" w:line="200" w:lineRule="exact"/>
        <w:rPr>
          <w:sz w:val="20"/>
          <w:szCs w:val="20"/>
        </w:rPr>
      </w:pPr>
    </w:p>
    <w:tbl>
      <w:tblPr>
        <w:tblW w:w="0" w:type="auto"/>
        <w:tblInd w:w="156" w:type="dxa"/>
        <w:tblLayout w:type="fixed"/>
        <w:tblCellMar>
          <w:left w:w="0" w:type="dxa"/>
          <w:right w:w="0" w:type="dxa"/>
        </w:tblCellMar>
        <w:tblLook w:val="0000" w:firstRow="0" w:lastRow="0" w:firstColumn="0" w:lastColumn="0" w:noHBand="0" w:noVBand="0"/>
      </w:tblPr>
      <w:tblGrid>
        <w:gridCol w:w="442"/>
        <w:gridCol w:w="480"/>
        <w:gridCol w:w="2839"/>
      </w:tblGrid>
      <w:tr w:rsidR="00F50386">
        <w:trPr>
          <w:trHeight w:hRule="exact" w:val="478"/>
        </w:trPr>
        <w:tc>
          <w:tcPr>
            <w:tcW w:w="442" w:type="dxa"/>
            <w:tcBorders>
              <w:top w:val="nil"/>
              <w:left w:val="nil"/>
              <w:bottom w:val="nil"/>
              <w:right w:val="nil"/>
            </w:tcBorders>
          </w:tcPr>
          <w:p w:rsidR="00F50386" w:rsidRDefault="00F50386">
            <w:pPr>
              <w:pStyle w:val="TableParagraph"/>
              <w:kinsoku w:val="0"/>
              <w:overflowPunct w:val="0"/>
              <w:spacing w:before="69"/>
              <w:ind w:left="40"/>
            </w:pPr>
            <w:r>
              <w:t>3</w:t>
            </w:r>
          </w:p>
        </w:tc>
        <w:tc>
          <w:tcPr>
            <w:tcW w:w="480" w:type="dxa"/>
            <w:tcBorders>
              <w:top w:val="nil"/>
              <w:left w:val="nil"/>
              <w:bottom w:val="nil"/>
              <w:right w:val="nil"/>
            </w:tcBorders>
          </w:tcPr>
          <w:p w:rsidR="00F50386" w:rsidRDefault="00F50386"/>
        </w:tc>
        <w:tc>
          <w:tcPr>
            <w:tcW w:w="2839" w:type="dxa"/>
            <w:tcBorders>
              <w:top w:val="nil"/>
              <w:left w:val="nil"/>
              <w:bottom w:val="nil"/>
              <w:right w:val="nil"/>
            </w:tcBorders>
          </w:tcPr>
          <w:p w:rsidR="00F50386" w:rsidRDefault="00F50386">
            <w:pPr>
              <w:pStyle w:val="TableParagraph"/>
              <w:kinsoku w:val="0"/>
              <w:overflowPunct w:val="0"/>
              <w:spacing w:before="69"/>
              <w:ind w:left="198"/>
            </w:pPr>
            <w:r>
              <w:t>Exécution</w:t>
            </w:r>
          </w:p>
        </w:tc>
      </w:tr>
      <w:tr w:rsidR="00F50386">
        <w:trPr>
          <w:trHeight w:hRule="exact" w:val="516"/>
        </w:trPr>
        <w:tc>
          <w:tcPr>
            <w:tcW w:w="442"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40"/>
            </w:pPr>
            <w:r>
              <w:t>3.1</w:t>
            </w:r>
          </w:p>
        </w:tc>
        <w:tc>
          <w:tcPr>
            <w:tcW w:w="480" w:type="dxa"/>
            <w:tcBorders>
              <w:top w:val="nil"/>
              <w:left w:val="nil"/>
              <w:bottom w:val="nil"/>
              <w:right w:val="nil"/>
            </w:tcBorders>
          </w:tcPr>
          <w:p w:rsidR="00F50386" w:rsidRDefault="00F50386"/>
        </w:tc>
        <w:tc>
          <w:tcPr>
            <w:tcW w:w="2839"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EXAMEN</w:t>
            </w:r>
          </w:p>
        </w:tc>
      </w:tr>
      <w:tr w:rsidR="00F50386">
        <w:trPr>
          <w:trHeight w:hRule="exact" w:val="478"/>
        </w:trPr>
        <w:tc>
          <w:tcPr>
            <w:tcW w:w="442" w:type="dxa"/>
            <w:tcBorders>
              <w:top w:val="nil"/>
              <w:left w:val="nil"/>
              <w:bottom w:val="nil"/>
              <w:right w:val="nil"/>
            </w:tcBorders>
          </w:tcPr>
          <w:p w:rsidR="00F50386" w:rsidRDefault="00F50386"/>
        </w:tc>
        <w:tc>
          <w:tcPr>
            <w:tcW w:w="480"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02"/>
            </w:pPr>
            <w:r>
              <w:t>.1</w:t>
            </w:r>
          </w:p>
        </w:tc>
        <w:tc>
          <w:tcPr>
            <w:tcW w:w="2839" w:type="dxa"/>
            <w:tcBorders>
              <w:top w:val="nil"/>
              <w:left w:val="nil"/>
              <w:bottom w:val="nil"/>
              <w:right w:val="nil"/>
            </w:tcBorders>
          </w:tcPr>
          <w:p w:rsidR="00F50386" w:rsidRDefault="00F50386">
            <w:pPr>
              <w:pStyle w:val="TableParagraph"/>
              <w:kinsoku w:val="0"/>
              <w:overflowPunct w:val="0"/>
              <w:spacing w:before="7" w:line="100" w:lineRule="exact"/>
              <w:rPr>
                <w:sz w:val="10"/>
                <w:szCs w:val="10"/>
              </w:rPr>
            </w:pPr>
          </w:p>
          <w:p w:rsidR="00F50386" w:rsidRDefault="00F50386">
            <w:pPr>
              <w:pStyle w:val="TableParagraph"/>
              <w:kinsoku w:val="0"/>
              <w:overflowPunct w:val="0"/>
              <w:ind w:left="198"/>
            </w:pPr>
            <w:r>
              <w:t>Vérification des conditions :</w:t>
            </w:r>
          </w:p>
        </w:tc>
      </w:tr>
    </w:tbl>
    <w:p w:rsidR="00F50386" w:rsidRDefault="00F50386">
      <w:pPr>
        <w:kinsoku w:val="0"/>
        <w:overflowPunct w:val="0"/>
        <w:spacing w:before="5" w:line="140" w:lineRule="exact"/>
        <w:rPr>
          <w:sz w:val="14"/>
          <w:szCs w:val="14"/>
        </w:rPr>
      </w:pPr>
    </w:p>
    <w:p w:rsidR="00F50386" w:rsidRDefault="00F50386">
      <w:pPr>
        <w:pStyle w:val="BodyText"/>
        <w:numPr>
          <w:ilvl w:val="0"/>
          <w:numId w:val="4"/>
        </w:numPr>
        <w:tabs>
          <w:tab w:val="left" w:pos="1851"/>
        </w:tabs>
        <w:kinsoku w:val="0"/>
        <w:overflowPunct w:val="0"/>
        <w:ind w:right="188"/>
        <w:jc w:val="both"/>
      </w:pPr>
      <w:r>
        <w:t>Examiner les substrats et les conditions en présence du fabricant pour s’assurer de la conformité des exigences quant à la tolérance des installations et aux autres conditions qui influent sur le résultat du travail. Procéder à l’installation uniquement après que toutes les conditions insatisfaisantes auront été corrigées.</w:t>
      </w:r>
    </w:p>
    <w:p w:rsidR="00F50386" w:rsidRDefault="00F50386">
      <w:pPr>
        <w:kinsoku w:val="0"/>
        <w:overflowPunct w:val="0"/>
        <w:spacing w:line="240" w:lineRule="exact"/>
      </w:pPr>
    </w:p>
    <w:p w:rsidR="00F50386" w:rsidRDefault="00F50386">
      <w:pPr>
        <w:pStyle w:val="BodyText"/>
        <w:numPr>
          <w:ilvl w:val="0"/>
          <w:numId w:val="4"/>
        </w:numPr>
        <w:tabs>
          <w:tab w:val="left" w:pos="1851"/>
        </w:tabs>
        <w:kinsoku w:val="0"/>
        <w:overflowPunct w:val="0"/>
        <w:ind w:right="187"/>
        <w:jc w:val="both"/>
      </w:pPr>
      <w:r>
        <w:t>Vérifier les dimensions réelles du chantier et l’emplacement des matériaux adjacents avant de commencer les travaux.</w:t>
      </w:r>
    </w:p>
    <w:p w:rsidR="00F50386" w:rsidRDefault="00F50386">
      <w:pPr>
        <w:kinsoku w:val="0"/>
        <w:overflowPunct w:val="0"/>
        <w:spacing w:line="240" w:lineRule="exact"/>
      </w:pPr>
    </w:p>
    <w:p w:rsidR="00F50386" w:rsidRDefault="00F50386">
      <w:pPr>
        <w:pStyle w:val="BodyText"/>
        <w:numPr>
          <w:ilvl w:val="0"/>
          <w:numId w:val="4"/>
        </w:numPr>
        <w:tabs>
          <w:tab w:val="left" w:pos="1851"/>
        </w:tabs>
        <w:kinsoku w:val="0"/>
        <w:overflowPunct w:val="0"/>
        <w:ind w:right="189"/>
        <w:jc w:val="both"/>
      </w:pPr>
      <w:r>
        <w:t>Vérifier les armoires sur lesquelles les comptoirs seront installés. Vérifier que l’écart de niveau des armoires ne dépasse pas 3 mm à l’intérieur de 3 m (1/8 po à l’intérieur de 10 pi).</w:t>
      </w:r>
    </w:p>
    <w:p w:rsidR="00F50386" w:rsidRDefault="00F50386">
      <w:pPr>
        <w:kinsoku w:val="0"/>
        <w:overflowPunct w:val="0"/>
        <w:spacing w:line="240" w:lineRule="exact"/>
      </w:pPr>
    </w:p>
    <w:p w:rsidR="00F50386" w:rsidRDefault="00F50386">
      <w:pPr>
        <w:pStyle w:val="BodyText"/>
        <w:numPr>
          <w:ilvl w:val="0"/>
          <w:numId w:val="4"/>
        </w:numPr>
        <w:tabs>
          <w:tab w:val="left" w:pos="1851"/>
        </w:tabs>
        <w:kinsoku w:val="0"/>
        <w:overflowPunct w:val="0"/>
        <w:ind w:right="185"/>
        <w:jc w:val="both"/>
      </w:pPr>
      <w:r>
        <w:t>Aviser par écrit le conseiller de toute condition pouvant nuire à l’installation.</w:t>
      </w:r>
    </w:p>
    <w:p w:rsidR="00F50386" w:rsidRDefault="00F50386">
      <w:pPr>
        <w:kinsoku w:val="0"/>
        <w:overflowPunct w:val="0"/>
        <w:spacing w:line="240" w:lineRule="exact"/>
      </w:pPr>
    </w:p>
    <w:p w:rsidR="00F50386" w:rsidRDefault="00F50386">
      <w:pPr>
        <w:pStyle w:val="BodyText"/>
        <w:tabs>
          <w:tab w:val="left" w:pos="1275"/>
        </w:tabs>
        <w:kinsoku w:val="0"/>
        <w:overflowPunct w:val="0"/>
        <w:ind w:left="1276" w:right="185"/>
        <w:jc w:val="both"/>
      </w:pPr>
      <w:r>
        <w:t>.2</w:t>
      </w:r>
      <w:r>
        <w:tab/>
        <w:t>Évaluation : Le début des travaux implique l’acceptation de travaux déjà terminés.</w:t>
      </w:r>
    </w:p>
    <w:p w:rsidR="00F50386" w:rsidRDefault="00F50386">
      <w:pPr>
        <w:kinsoku w:val="0"/>
        <w:overflowPunct w:val="0"/>
        <w:spacing w:line="240" w:lineRule="exact"/>
      </w:pPr>
    </w:p>
    <w:p w:rsidR="00F50386" w:rsidRDefault="00F50386">
      <w:pPr>
        <w:pStyle w:val="BodyText"/>
        <w:numPr>
          <w:ilvl w:val="1"/>
          <w:numId w:val="3"/>
        </w:numPr>
        <w:tabs>
          <w:tab w:val="left" w:pos="1275"/>
        </w:tabs>
        <w:kinsoku w:val="0"/>
        <w:overflowPunct w:val="0"/>
        <w:ind w:left="1276"/>
      </w:pPr>
      <w:r>
        <w:t>INSTALLATION</w:t>
      </w:r>
    </w:p>
    <w:p w:rsidR="00F50386" w:rsidRDefault="00F50386">
      <w:pPr>
        <w:kinsoku w:val="0"/>
        <w:overflowPunct w:val="0"/>
        <w:spacing w:line="240" w:lineRule="exact"/>
      </w:pPr>
    </w:p>
    <w:p w:rsidR="00F50386" w:rsidRDefault="00F50386">
      <w:pPr>
        <w:pStyle w:val="BodyText"/>
        <w:numPr>
          <w:ilvl w:val="2"/>
          <w:numId w:val="3"/>
        </w:numPr>
        <w:tabs>
          <w:tab w:val="left" w:pos="1275"/>
        </w:tabs>
        <w:kinsoku w:val="0"/>
        <w:overflowPunct w:val="0"/>
        <w:ind w:left="1276" w:right="185"/>
        <w:jc w:val="both"/>
      </w:pPr>
      <w:r>
        <w:t>Installer les composants d’aplomb, de niveau et solidement, contre-profilés aux finitions adjacentes, conformément aux dessins d’atelier révisés et aux détails d’installation du produit.</w:t>
      </w:r>
    </w:p>
    <w:p w:rsidR="00F50386" w:rsidRDefault="00F50386">
      <w:pPr>
        <w:kinsoku w:val="0"/>
        <w:overflowPunct w:val="0"/>
        <w:spacing w:line="240" w:lineRule="exact"/>
      </w:pPr>
    </w:p>
    <w:p w:rsidR="00F50386" w:rsidRDefault="00F50386">
      <w:pPr>
        <w:pStyle w:val="BodyText"/>
        <w:numPr>
          <w:ilvl w:val="2"/>
          <w:numId w:val="3"/>
        </w:numPr>
        <w:tabs>
          <w:tab w:val="left" w:pos="1275"/>
        </w:tabs>
        <w:kinsoku w:val="0"/>
        <w:overflowPunct w:val="0"/>
        <w:ind w:left="1276" w:right="188"/>
        <w:jc w:val="both"/>
      </w:pPr>
      <w:r>
        <w:lastRenderedPageBreak/>
        <w:t>Jointer les pièces à l’aide de la colle à joint recommandée par le fabricant. Lors de la formation des joints, garder les composants et les mains propres. Renforcer les joints comme précisé aux présentes. Couper et finir les bordures des composants de manière précise et propre.</w:t>
      </w:r>
    </w:p>
    <w:p w:rsidR="00F50386" w:rsidRDefault="00F50386">
      <w:pPr>
        <w:kinsoku w:val="0"/>
        <w:overflowPunct w:val="0"/>
        <w:spacing w:line="240" w:lineRule="exact"/>
      </w:pPr>
    </w:p>
    <w:p w:rsidR="00F50386" w:rsidRDefault="00F50386">
      <w:pPr>
        <w:pStyle w:val="BodyText"/>
        <w:numPr>
          <w:ilvl w:val="2"/>
          <w:numId w:val="3"/>
        </w:numPr>
        <w:tabs>
          <w:tab w:val="left" w:pos="1275"/>
        </w:tabs>
        <w:kinsoku w:val="0"/>
        <w:overflowPunct w:val="0"/>
        <w:ind w:left="1276"/>
      </w:pPr>
      <w:r>
        <w:t>Détourer les courbes et les contours conformément au modèle. Fixer solidement au composant sur plancher ou à un autre support.</w:t>
      </w:r>
    </w:p>
    <w:p w:rsidR="00F50386" w:rsidRDefault="00F50386">
      <w:pPr>
        <w:pStyle w:val="BodyText"/>
        <w:kinsoku w:val="0"/>
        <w:overflowPunct w:val="0"/>
        <w:ind w:left="1276" w:right="185" w:firstLine="0"/>
        <w:jc w:val="both"/>
      </w:pPr>
      <w:r>
        <w:t>Aligner aux composants adjacents et joindre selon les recommandations écrites du fabricant en utilisant l’adhésif de couleur assortie au comptoir. Lisser les joints avec précaution, retirer les égratignures superficielles et nettoyer toute la surface.</w:t>
      </w:r>
    </w:p>
    <w:p w:rsidR="00F50386" w:rsidRDefault="00F50386">
      <w:pPr>
        <w:kinsoku w:val="0"/>
        <w:overflowPunct w:val="0"/>
        <w:spacing w:line="240" w:lineRule="exact"/>
      </w:pPr>
    </w:p>
    <w:p w:rsidR="00F50386" w:rsidRDefault="00F50386">
      <w:pPr>
        <w:pStyle w:val="BodyText"/>
        <w:numPr>
          <w:ilvl w:val="2"/>
          <w:numId w:val="3"/>
        </w:numPr>
        <w:tabs>
          <w:tab w:val="left" w:pos="1275"/>
        </w:tabs>
        <w:kinsoku w:val="0"/>
        <w:overflowPunct w:val="0"/>
        <w:ind w:left="1276" w:right="189"/>
        <w:jc w:val="both"/>
      </w:pPr>
      <w:r>
        <w:t>Ne pas installer les comptoirs à une inclinaison de plus de 3 mm (1/8 po).</w:t>
      </w:r>
    </w:p>
    <w:p w:rsidR="00F50386" w:rsidRDefault="00F50386">
      <w:pPr>
        <w:kinsoku w:val="0"/>
        <w:overflowPunct w:val="0"/>
        <w:spacing w:line="240" w:lineRule="exact"/>
      </w:pPr>
    </w:p>
    <w:p w:rsidR="00F50386" w:rsidRDefault="00F50386">
      <w:pPr>
        <w:pStyle w:val="BodyText"/>
        <w:numPr>
          <w:ilvl w:val="2"/>
          <w:numId w:val="3"/>
        </w:numPr>
        <w:tabs>
          <w:tab w:val="left" w:pos="1275"/>
        </w:tabs>
        <w:kinsoku w:val="0"/>
        <w:overflowPunct w:val="0"/>
        <w:ind w:left="1276" w:right="188"/>
        <w:jc w:val="both"/>
      </w:pPr>
      <w:r>
        <w:t>Joindre l’évier à montage sous plan/sur plan/en biseau au comptoir à l’aide de la colle et du matériel de montage recommandés par le fabricant.</w:t>
      </w:r>
    </w:p>
    <w:p w:rsidR="00F50386" w:rsidRDefault="00F50386">
      <w:pPr>
        <w:pStyle w:val="BodyText"/>
        <w:numPr>
          <w:ilvl w:val="2"/>
          <w:numId w:val="3"/>
        </w:numPr>
        <w:tabs>
          <w:tab w:val="left" w:pos="1275"/>
        </w:tabs>
        <w:kinsoku w:val="0"/>
        <w:overflowPunct w:val="0"/>
        <w:ind w:left="1276" w:right="188"/>
        <w:jc w:val="both"/>
        <w:sectPr w:rsidR="00F50386">
          <w:pgSz w:w="12240" w:h="15840"/>
          <w:pgMar w:top="1520" w:right="820" w:bottom="1000" w:left="1100" w:header="743" w:footer="818" w:gutter="0"/>
          <w:cols w:space="720"/>
          <w:noEndnote/>
        </w:sectPr>
      </w:pPr>
    </w:p>
    <w:p w:rsidR="00F50386" w:rsidRDefault="00F50386">
      <w:pPr>
        <w:kinsoku w:val="0"/>
        <w:overflowPunct w:val="0"/>
        <w:spacing w:before="12" w:line="200" w:lineRule="exact"/>
        <w:rPr>
          <w:sz w:val="20"/>
          <w:szCs w:val="20"/>
        </w:rPr>
      </w:pPr>
    </w:p>
    <w:p w:rsidR="00F50386" w:rsidRDefault="00F50386">
      <w:pPr>
        <w:pStyle w:val="BodyText"/>
        <w:numPr>
          <w:ilvl w:val="2"/>
          <w:numId w:val="3"/>
        </w:numPr>
        <w:tabs>
          <w:tab w:val="left" w:pos="1267"/>
        </w:tabs>
        <w:kinsoku w:val="0"/>
        <w:overflowPunct w:val="0"/>
        <w:spacing w:before="69"/>
        <w:ind w:left="1268" w:right="196"/>
        <w:jc w:val="both"/>
      </w:pPr>
      <w:r>
        <w:t>Joindre l’évier à montage sur plan au comptoir à l’aide de la colle et du mastic silicone de couleur assortie recommandés par le fabricant. [Secure seam mount bowls and sinks to counter tops using colour matched joint adhesive.]</w:t>
      </w:r>
    </w:p>
    <w:p w:rsidR="00F50386" w:rsidRDefault="00F50386">
      <w:pPr>
        <w:kinsoku w:val="0"/>
        <w:overflowPunct w:val="0"/>
        <w:spacing w:line="240" w:lineRule="exact"/>
      </w:pPr>
    </w:p>
    <w:p w:rsidR="00F50386" w:rsidRDefault="00F50386">
      <w:pPr>
        <w:pStyle w:val="BodyText"/>
        <w:numPr>
          <w:ilvl w:val="2"/>
          <w:numId w:val="3"/>
        </w:numPr>
        <w:tabs>
          <w:tab w:val="left" w:pos="1267"/>
        </w:tabs>
        <w:kinsoku w:val="0"/>
        <w:overflowPunct w:val="0"/>
        <w:ind w:left="1268" w:right="193"/>
        <w:jc w:val="both"/>
      </w:pPr>
      <w:r>
        <w:t>Colmater l’espace entre le mur et les composants à l’aide du scellant à joint comme précisé aux présentes et à l’article 07 92 00, le cas échéant.</w:t>
      </w:r>
    </w:p>
    <w:p w:rsidR="00F50386" w:rsidRDefault="00F50386">
      <w:pPr>
        <w:kinsoku w:val="0"/>
        <w:overflowPunct w:val="0"/>
        <w:spacing w:line="240" w:lineRule="exact"/>
      </w:pPr>
    </w:p>
    <w:p w:rsidR="00F50386" w:rsidRDefault="00F50386">
      <w:pPr>
        <w:pStyle w:val="BodyText"/>
        <w:numPr>
          <w:ilvl w:val="2"/>
          <w:numId w:val="3"/>
        </w:numPr>
        <w:tabs>
          <w:tab w:val="left" w:pos="1267"/>
        </w:tabs>
        <w:kinsoku w:val="0"/>
        <w:overflowPunct w:val="0"/>
        <w:ind w:left="1268" w:right="193"/>
        <w:jc w:val="both"/>
      </w:pPr>
      <w:r>
        <w:t xml:space="preserve">Fournir les dosserets et les parois latérales, comme indiqué sur les dessins. Joindre au comptoir à l’aide d’un mastic silicone standard de couleur assortie. Joindre les parois latérales au comptoir à l’aide d’un mastic silicone standard de couleur assortie. </w:t>
      </w:r>
    </w:p>
    <w:p w:rsidR="00F50386" w:rsidRDefault="00F50386">
      <w:pPr>
        <w:kinsoku w:val="0"/>
        <w:overflowPunct w:val="0"/>
        <w:spacing w:line="240" w:lineRule="exact"/>
      </w:pPr>
    </w:p>
    <w:p w:rsidR="00F50386" w:rsidRDefault="00F50386">
      <w:pPr>
        <w:pStyle w:val="BodyText"/>
        <w:numPr>
          <w:ilvl w:val="2"/>
          <w:numId w:val="3"/>
        </w:numPr>
        <w:tabs>
          <w:tab w:val="left" w:pos="1267"/>
        </w:tabs>
        <w:kinsoku w:val="0"/>
        <w:overflowPunct w:val="0"/>
        <w:ind w:left="1268" w:right="198"/>
        <w:jc w:val="both"/>
      </w:pPr>
      <w:r>
        <w:t>Lors de l’installation, garder les composants et les mains propres. Retirer les débordements de colle, de mastic et toute autre tache. S’assurer que les composants sont propres à la date de l’achèvement substantiel des travaux.</w:t>
      </w:r>
    </w:p>
    <w:p w:rsidR="00F50386" w:rsidRDefault="00F50386">
      <w:pPr>
        <w:kinsoku w:val="0"/>
        <w:overflowPunct w:val="0"/>
        <w:spacing w:line="240" w:lineRule="exact"/>
      </w:pPr>
    </w:p>
    <w:p w:rsidR="00F50386" w:rsidRDefault="00F50386">
      <w:pPr>
        <w:pStyle w:val="BodyText"/>
        <w:numPr>
          <w:ilvl w:val="2"/>
          <w:numId w:val="3"/>
        </w:numPr>
        <w:tabs>
          <w:tab w:val="left" w:pos="1267"/>
        </w:tabs>
        <w:kinsoku w:val="0"/>
        <w:overflowPunct w:val="0"/>
        <w:ind w:left="1268" w:right="195"/>
        <w:jc w:val="both"/>
      </w:pPr>
      <w:r>
        <w:t>Coordonner le raccord des appareils de plomberie avec [Division 22] [Mechanical]. Effectuer les raccordements de plomberie aux éviers conformément au [Division 22] [Mechanical].</w:t>
      </w:r>
    </w:p>
    <w:p w:rsidR="00F50386" w:rsidRDefault="00F50386">
      <w:pPr>
        <w:kinsoku w:val="0"/>
        <w:overflowPunct w:val="0"/>
        <w:spacing w:line="240" w:lineRule="exact"/>
      </w:pPr>
    </w:p>
    <w:p w:rsidR="00F50386" w:rsidRDefault="00F50386">
      <w:pPr>
        <w:pStyle w:val="BodyText"/>
        <w:numPr>
          <w:ilvl w:val="1"/>
          <w:numId w:val="3"/>
        </w:numPr>
        <w:tabs>
          <w:tab w:val="left" w:pos="1267"/>
        </w:tabs>
        <w:kinsoku w:val="0"/>
        <w:overflowPunct w:val="0"/>
        <w:ind w:left="1268"/>
      </w:pPr>
      <w:r>
        <w:t>RÉPARATION</w:t>
      </w:r>
    </w:p>
    <w:p w:rsidR="00F50386" w:rsidRDefault="00F50386">
      <w:pPr>
        <w:kinsoku w:val="0"/>
        <w:overflowPunct w:val="0"/>
        <w:spacing w:line="240" w:lineRule="exact"/>
      </w:pPr>
    </w:p>
    <w:p w:rsidR="00F50386" w:rsidRDefault="00F50386">
      <w:pPr>
        <w:pStyle w:val="BodyText"/>
        <w:tabs>
          <w:tab w:val="left" w:pos="1267"/>
        </w:tabs>
        <w:kinsoku w:val="0"/>
        <w:overflowPunct w:val="0"/>
        <w:ind w:left="1268" w:right="199"/>
        <w:jc w:val="both"/>
      </w:pPr>
      <w:r>
        <w:t>.1</w:t>
      </w:r>
      <w:r>
        <w:tab/>
        <w:t>Remplacer les parties gravement endommagées des surfaces conformément aux recommandations du fabricant.</w:t>
      </w:r>
    </w:p>
    <w:p w:rsidR="00F50386" w:rsidRDefault="00F50386">
      <w:pPr>
        <w:kinsoku w:val="0"/>
        <w:overflowPunct w:val="0"/>
        <w:spacing w:line="240" w:lineRule="exact"/>
      </w:pPr>
    </w:p>
    <w:p w:rsidR="00F50386" w:rsidRDefault="00F50386">
      <w:pPr>
        <w:pStyle w:val="BodyText"/>
        <w:numPr>
          <w:ilvl w:val="1"/>
          <w:numId w:val="3"/>
        </w:numPr>
        <w:tabs>
          <w:tab w:val="left" w:pos="1267"/>
        </w:tabs>
        <w:kinsoku w:val="0"/>
        <w:overflowPunct w:val="0"/>
        <w:ind w:left="1268"/>
      </w:pPr>
      <w:r>
        <w:t>CONTRÔLE DE LA QUALITÉ SUR LE SITE</w:t>
      </w:r>
    </w:p>
    <w:p w:rsidR="00F50386" w:rsidRDefault="00F50386">
      <w:pPr>
        <w:kinsoku w:val="0"/>
        <w:overflowPunct w:val="0"/>
        <w:spacing w:line="240" w:lineRule="exact"/>
      </w:pPr>
    </w:p>
    <w:p w:rsidR="00F50386" w:rsidRDefault="00F50386">
      <w:pPr>
        <w:pStyle w:val="BodyText"/>
        <w:tabs>
          <w:tab w:val="left" w:pos="1267"/>
        </w:tabs>
        <w:kinsoku w:val="0"/>
        <w:overflowPunct w:val="0"/>
        <w:ind w:left="1268" w:right="198"/>
        <w:jc w:val="both"/>
      </w:pPr>
      <w:r>
        <w:t>.1</w:t>
      </w:r>
      <w:r>
        <w:tab/>
        <w:t>Travaux non conformes : Remplacer tout élément endommagé ne pouvant pas être réparé, restauré ou nettoyé de façon satisfaisante, à la satisfaction du conseiller et sans frais pour le propriétaire.</w:t>
      </w:r>
    </w:p>
    <w:p w:rsidR="00F50386" w:rsidRDefault="00F50386">
      <w:pPr>
        <w:kinsoku w:val="0"/>
        <w:overflowPunct w:val="0"/>
        <w:spacing w:line="240" w:lineRule="exact"/>
      </w:pPr>
    </w:p>
    <w:p w:rsidR="00F50386" w:rsidRDefault="00F50386">
      <w:pPr>
        <w:pStyle w:val="BodyText"/>
        <w:numPr>
          <w:ilvl w:val="1"/>
          <w:numId w:val="3"/>
        </w:numPr>
        <w:tabs>
          <w:tab w:val="left" w:pos="1267"/>
        </w:tabs>
        <w:kinsoku w:val="0"/>
        <w:overflowPunct w:val="0"/>
        <w:ind w:left="1268"/>
      </w:pPr>
      <w:r>
        <w:t>NETTOYAGE</w:t>
      </w:r>
    </w:p>
    <w:p w:rsidR="00F50386" w:rsidRDefault="00F50386">
      <w:pPr>
        <w:kinsoku w:val="0"/>
        <w:overflowPunct w:val="0"/>
        <w:spacing w:line="240" w:lineRule="exact"/>
      </w:pPr>
    </w:p>
    <w:p w:rsidR="00F50386" w:rsidRDefault="00F50386">
      <w:pPr>
        <w:pStyle w:val="BodyText"/>
        <w:numPr>
          <w:ilvl w:val="0"/>
          <w:numId w:val="2"/>
        </w:numPr>
        <w:tabs>
          <w:tab w:val="left" w:pos="1267"/>
        </w:tabs>
        <w:kinsoku w:val="0"/>
        <w:overflowPunct w:val="0"/>
        <w:ind w:left="1268"/>
      </w:pPr>
      <w:r>
        <w:t>Retirer les adhésifs et les scellants excédentaires des surfaces visibles.</w:t>
      </w:r>
    </w:p>
    <w:p w:rsidR="00F50386" w:rsidRDefault="00F50386">
      <w:pPr>
        <w:kinsoku w:val="0"/>
        <w:overflowPunct w:val="0"/>
        <w:spacing w:line="240" w:lineRule="exact"/>
      </w:pPr>
    </w:p>
    <w:p w:rsidR="00F50386" w:rsidRDefault="00F50386">
      <w:pPr>
        <w:pStyle w:val="BodyText"/>
        <w:numPr>
          <w:ilvl w:val="0"/>
          <w:numId w:val="2"/>
        </w:numPr>
        <w:tabs>
          <w:tab w:val="left" w:pos="1267"/>
        </w:tabs>
        <w:kinsoku w:val="0"/>
        <w:overflowPunct w:val="0"/>
        <w:ind w:left="1268"/>
      </w:pPr>
      <w:r>
        <w:t>Nettoyer les surfaces conformément aux instructions d’entretien du fabricant.</w:t>
      </w:r>
    </w:p>
    <w:p w:rsidR="00F50386" w:rsidRDefault="00F50386">
      <w:pPr>
        <w:kinsoku w:val="0"/>
        <w:overflowPunct w:val="0"/>
        <w:spacing w:line="240" w:lineRule="exact"/>
      </w:pPr>
    </w:p>
    <w:p w:rsidR="00F50386" w:rsidRDefault="00F50386">
      <w:pPr>
        <w:pStyle w:val="BodyText"/>
        <w:numPr>
          <w:ilvl w:val="1"/>
          <w:numId w:val="3"/>
        </w:numPr>
        <w:tabs>
          <w:tab w:val="left" w:pos="1267"/>
        </w:tabs>
        <w:kinsoku w:val="0"/>
        <w:overflowPunct w:val="0"/>
        <w:ind w:left="1268"/>
      </w:pPr>
      <w:r>
        <w:t>PROTECTION</w:t>
      </w:r>
    </w:p>
    <w:p w:rsidR="00F50386" w:rsidRDefault="00F50386">
      <w:pPr>
        <w:kinsoku w:val="0"/>
        <w:overflowPunct w:val="0"/>
        <w:spacing w:line="240" w:lineRule="exact"/>
      </w:pPr>
    </w:p>
    <w:p w:rsidR="00F50386" w:rsidRDefault="00F50386">
      <w:pPr>
        <w:pStyle w:val="BodyText"/>
        <w:numPr>
          <w:ilvl w:val="0"/>
          <w:numId w:val="1"/>
        </w:numPr>
        <w:tabs>
          <w:tab w:val="left" w:pos="1267"/>
        </w:tabs>
        <w:kinsoku w:val="0"/>
        <w:overflowPunct w:val="0"/>
        <w:ind w:left="1268" w:right="196"/>
        <w:jc w:val="both"/>
      </w:pPr>
      <w:r>
        <w:t>Pendant toute la durée du projet, fournir des revêtements de protection servant à éviter tout dommage physique ou toute tache après l’installation.</w:t>
      </w:r>
    </w:p>
    <w:p w:rsidR="00F50386" w:rsidRDefault="00F50386">
      <w:pPr>
        <w:kinsoku w:val="0"/>
        <w:overflowPunct w:val="0"/>
        <w:spacing w:line="240" w:lineRule="exact"/>
      </w:pPr>
    </w:p>
    <w:p w:rsidR="00F50386" w:rsidRDefault="00F50386">
      <w:pPr>
        <w:pStyle w:val="BodyText"/>
        <w:numPr>
          <w:ilvl w:val="0"/>
          <w:numId w:val="1"/>
        </w:numPr>
        <w:tabs>
          <w:tab w:val="left" w:pos="1267"/>
        </w:tabs>
        <w:kinsoku w:val="0"/>
        <w:overflowPunct w:val="0"/>
        <w:ind w:left="1268"/>
      </w:pPr>
      <w:r>
        <w:t>Protéger les surfaces contre les dommages jusqu’à la date d’achèvement substantiel des travaux.</w:t>
      </w:r>
    </w:p>
    <w:p w:rsidR="00F50386" w:rsidRDefault="00F50386">
      <w:pPr>
        <w:kinsoku w:val="0"/>
        <w:overflowPunct w:val="0"/>
        <w:spacing w:before="5" w:line="200" w:lineRule="exact"/>
        <w:rPr>
          <w:sz w:val="20"/>
          <w:szCs w:val="20"/>
        </w:rPr>
      </w:pPr>
    </w:p>
    <w:p w:rsidR="00F50386" w:rsidRDefault="00F50386">
      <w:pPr>
        <w:kinsoku w:val="0"/>
        <w:overflowPunct w:val="0"/>
        <w:ind w:left="188"/>
      </w:pPr>
      <w:r>
        <w:rPr>
          <w:i/>
          <w:iCs/>
        </w:rPr>
        <w:t>Le logo ovale DuPont, DuPont</w:t>
      </w:r>
      <w:r>
        <w:rPr>
          <w:i/>
          <w:iCs/>
          <w:sz w:val="16"/>
          <w:szCs w:val="16"/>
        </w:rPr>
        <w:t>mc</w:t>
      </w:r>
      <w:r>
        <w:rPr>
          <w:i/>
          <w:iCs/>
        </w:rPr>
        <w:t>, Zodiaq</w:t>
      </w:r>
      <w:r>
        <w:rPr>
          <w:i/>
          <w:iCs/>
          <w:vertAlign w:val="superscript"/>
        </w:rPr>
        <w:t>md</w:t>
      </w:r>
      <w:r>
        <w:rPr>
          <w:i/>
          <w:iCs/>
        </w:rPr>
        <w:t xml:space="preserve"> et Corian</w:t>
      </w:r>
      <w:r>
        <w:rPr>
          <w:i/>
          <w:iCs/>
          <w:vertAlign w:val="superscript"/>
        </w:rPr>
        <w:t>md</w:t>
      </w:r>
      <w:r>
        <w:rPr>
          <w:i/>
          <w:iCs/>
        </w:rPr>
        <w:t xml:space="preserve"> sont des marques de commerce ou des marques déposées de E. I. du Pont de Nemours et compagnie </w:t>
      </w:r>
      <w:r>
        <w:rPr>
          <w:b/>
          <w:bCs/>
          <w:i/>
          <w:iCs/>
        </w:rPr>
        <w:t xml:space="preserve">(« DuPont ») </w:t>
      </w:r>
      <w:r>
        <w:rPr>
          <w:i/>
          <w:iCs/>
        </w:rPr>
        <w:t>ou de ses sociétés affiliées. Tous droits réservés.</w:t>
      </w:r>
    </w:p>
    <w:p w:rsidR="00F50386" w:rsidRDefault="00F50386">
      <w:pPr>
        <w:kinsoku w:val="0"/>
        <w:overflowPunct w:val="0"/>
        <w:spacing w:before="5" w:line="200" w:lineRule="exact"/>
        <w:rPr>
          <w:sz w:val="20"/>
          <w:szCs w:val="20"/>
        </w:rPr>
      </w:pPr>
    </w:p>
    <w:p w:rsidR="00F50386" w:rsidRDefault="00F50386">
      <w:pPr>
        <w:kinsoku w:val="0"/>
        <w:overflowPunct w:val="0"/>
        <w:ind w:left="188"/>
      </w:pPr>
      <w:r>
        <w:rPr>
          <w:i/>
          <w:iCs/>
        </w:rPr>
        <w:t>LEED</w:t>
      </w:r>
      <w:r>
        <w:rPr>
          <w:i/>
          <w:iCs/>
          <w:sz w:val="16"/>
          <w:szCs w:val="16"/>
        </w:rPr>
        <w:t xml:space="preserve">® </w:t>
      </w:r>
      <w:r>
        <w:rPr>
          <w:i/>
          <w:iCs/>
        </w:rPr>
        <w:t>est une marque déposée du US Green Building Council.</w:t>
      </w:r>
    </w:p>
    <w:p w:rsidR="00F50386" w:rsidRDefault="00F50386">
      <w:pPr>
        <w:kinsoku w:val="0"/>
        <w:overflowPunct w:val="0"/>
        <w:ind w:left="188"/>
        <w:sectPr w:rsidR="00F50386">
          <w:pgSz w:w="12240" w:h="15840"/>
          <w:pgMar w:top="1520" w:right="1100" w:bottom="1000" w:left="820" w:header="743" w:footer="818" w:gutter="0"/>
          <w:cols w:space="720"/>
          <w:noEndnote/>
        </w:sectPr>
      </w:pPr>
    </w:p>
    <w:p w:rsidR="00F50386" w:rsidRDefault="00F50386">
      <w:pPr>
        <w:kinsoku w:val="0"/>
        <w:overflowPunct w:val="0"/>
        <w:spacing w:before="12" w:line="200" w:lineRule="exact"/>
        <w:rPr>
          <w:sz w:val="20"/>
          <w:szCs w:val="20"/>
        </w:rPr>
      </w:pPr>
    </w:p>
    <w:p w:rsidR="00F50386" w:rsidRDefault="00F50386">
      <w:pPr>
        <w:pStyle w:val="BodyText"/>
        <w:kinsoku w:val="0"/>
        <w:overflowPunct w:val="0"/>
        <w:spacing w:before="69"/>
        <w:ind w:left="0" w:right="1433" w:firstLine="0"/>
        <w:jc w:val="center"/>
      </w:pPr>
      <w:r>
        <w:t>FIN DE LA SECTION</w:t>
      </w:r>
    </w:p>
    <w:sectPr w:rsidR="00F50386">
      <w:pgSz w:w="12240" w:h="15840"/>
      <w:pgMar w:top="1520" w:right="820" w:bottom="1000" w:left="1100" w:header="743" w:footer="8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1CC" w:rsidRDefault="008F01CC">
      <w:r>
        <w:separator/>
      </w:r>
    </w:p>
  </w:endnote>
  <w:endnote w:type="continuationSeparator" w:id="0">
    <w:p w:rsidR="008F01CC" w:rsidRDefault="008F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E1" w:rsidRDefault="000C7EE1">
    <w:pPr>
      <w:kinsoku w:val="0"/>
      <w:overflowPunct w:val="0"/>
      <w:spacing w:line="200" w:lineRule="exact"/>
      <w:rPr>
        <w:sz w:val="20"/>
        <w:szCs w:val="20"/>
      </w:rPr>
    </w:pPr>
    <w:r>
      <w:rPr>
        <w:noProof/>
        <w:lang w:val="en-US" w:eastAsia="en-US" w:bidi="ar-SA"/>
      </w:rPr>
      <mc:AlternateContent>
        <mc:Choice Requires="wps">
          <w:drawing>
            <wp:anchor distT="0" distB="0" distL="114300" distR="114300" simplePos="0" relativeHeight="251660288" behindDoc="1" locked="0" layoutInCell="0" allowOverlap="1">
              <wp:simplePos x="0" y="0"/>
              <wp:positionH relativeFrom="page">
                <wp:posOffset>592455</wp:posOffset>
              </wp:positionH>
              <wp:positionV relativeFrom="page">
                <wp:posOffset>9424035</wp:posOffset>
              </wp:positionV>
              <wp:extent cx="6400800" cy="12700"/>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65pt,742.05pt,550.65pt,742.0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" o:allowincell="f" filled="f">
              <v:path arrowok="t" o:connecttype="custom" o:connectlocs="0,0;6400800,0" o:connectangles="0,0"/>
              <w10:wrap anchorx="page" anchory="page"/>
            </v:polyline>
          </w:pict>
        </mc:Fallback>
      </mc:AlternateContent>
    </w:r>
    <w:r>
      <w:rPr>
        <w:noProof/>
        <w:lang w:val="en-US" w:eastAsia="en-US" w:bidi="ar-SA"/>
      </w:rPr>
      <mc:AlternateContent>
        <mc:Choice Requires="wps">
          <w:drawing>
            <wp:anchor distT="0" distB="0" distL="114300" distR="114300" simplePos="0" relativeHeight="251661312" behindDoc="1" locked="0" layoutInCell="0" allowOverlap="1">
              <wp:simplePos x="0" y="0"/>
              <wp:positionH relativeFrom="page">
                <wp:posOffset>2731770</wp:posOffset>
              </wp:positionH>
              <wp:positionV relativeFrom="page">
                <wp:posOffset>9399270</wp:posOffset>
              </wp:positionV>
              <wp:extent cx="2161540" cy="2063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386" w:rsidRDefault="00F50386">
                          <w:pPr>
                            <w:kinsoku w:val="0"/>
                            <w:overflowPunct w:val="0"/>
                            <w:spacing w:line="310" w:lineRule="exact"/>
                            <w:ind w:left="20"/>
                          </w:pPr>
                          <w:r>
                            <w:rPr>
                              <w:i/>
                              <w:iCs/>
                            </w:rPr>
                            <w:t>Revêtement de quartz Zodiaq</w:t>
                          </w:r>
                          <w:r>
                            <w:rPr>
                              <w:i/>
                              <w:iCs/>
                              <w:sz w:val="16"/>
                              <w:szCs w:val="16"/>
                            </w:rPr>
                            <w:t>md</w:t>
                          </w:r>
                          <w:r>
                            <w:rPr>
                              <w:i/>
                              <w:iCs/>
                            </w:rPr>
                            <w:t xml:space="preserve"> de DuPontmc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215.1pt;margin-top:740.1pt;width:170.2pt;height:1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8m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" o:allowincell="f" filled="f" stroked="f">
              <v:textbox inset="0,0,0,0">
                <w:txbxContent>
                  <w:p w:rsidR="00F50386" w:rsidRDefault="00F50386">
                    <w:pPr>
                      <w:kinsoku w:val="0"/>
                      <w:overflowPunct w:val="0"/>
                      <w:spacing w:line="310" w:lineRule="exact"/>
                      <w:ind w:left="20"/>
                    </w:pPr>
                    <w:r>
                      <w:rPr>
                        <w:i/>
                        <w:iCs/>
                      </w:rPr>
                      <w:t>Revêtement de quartz Zodiaq</w:t>
                    </w:r>
                    <w:r>
                      <w:rPr>
                        <w:i/>
                        <w:iCs/>
                        <w:sz w:val="16"/>
                        <w:szCs w:val="16"/>
                      </w:rPr>
                      <w:t>md</w:t>
                    </w:r>
                    <w:r>
                      <w:rPr>
                        <w:i/>
                        <w:iCs/>
                      </w:rPr>
                      <w:t xml:space="preserve"> de DuPontmc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E1" w:rsidRDefault="000C7EE1">
    <w:pPr>
      <w:kinsoku w:val="0"/>
      <w:overflowPunct w:val="0"/>
      <w:spacing w:line="200" w:lineRule="exact"/>
      <w:rPr>
        <w:sz w:val="20"/>
        <w:szCs w:val="20"/>
      </w:rPr>
    </w:pPr>
    <w:r>
      <w:rPr>
        <w:noProof/>
        <w:lang w:val="en-US" w:eastAsia="en-US" w:bidi="ar-SA"/>
      </w:rPr>
      <mc:AlternateContent>
        <mc:Choice Requires="wps">
          <w:drawing>
            <wp:anchor distT="0" distB="0" distL="114300" distR="114300" simplePos="0" relativeHeight="251658240" behindDoc="1" locked="0" layoutInCell="0" allowOverlap="1">
              <wp:simplePos x="0" y="0"/>
              <wp:positionH relativeFrom="page">
                <wp:posOffset>774700</wp:posOffset>
              </wp:positionH>
              <wp:positionV relativeFrom="page">
                <wp:posOffset>9424035</wp:posOffset>
              </wp:positionV>
              <wp:extent cx="6400800" cy="12700"/>
              <wp:effectExtent l="0" t="0" r="0" b="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pt,742.05pt,565pt,742.0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" o:allowincell="f" filled="f">
              <v:path arrowok="t" o:connecttype="custom" o:connectlocs="0,0;6400800,0" o:connectangles="0,0"/>
              <w10:wrap anchorx="page" anchory="page"/>
            </v:polyline>
          </w:pict>
        </mc:Fallback>
      </mc:AlternateContent>
    </w:r>
    <w:r>
      <w:rPr>
        <w:noProof/>
        <w:lang w:val="en-US" w:eastAsia="en-US" w:bidi="ar-SA"/>
      </w:rPr>
      <mc:AlternateContent>
        <mc:Choice Requires="wps">
          <w:drawing>
            <wp:anchor distT="0" distB="0" distL="114300" distR="114300" simplePos="0" relativeHeight="251659264" behindDoc="1" locked="0" layoutInCell="0" allowOverlap="1">
              <wp:simplePos x="0" y="0"/>
              <wp:positionH relativeFrom="page">
                <wp:posOffset>2914650</wp:posOffset>
              </wp:positionH>
              <wp:positionV relativeFrom="page">
                <wp:posOffset>9399270</wp:posOffset>
              </wp:positionV>
              <wp:extent cx="2161540" cy="2063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386" w:rsidRDefault="00F50386">
                          <w:pPr>
                            <w:kinsoku w:val="0"/>
                            <w:overflowPunct w:val="0"/>
                            <w:spacing w:line="310" w:lineRule="exact"/>
                            <w:ind w:left="20"/>
                          </w:pPr>
                          <w:r>
                            <w:rPr>
                              <w:i/>
                              <w:iCs/>
                            </w:rPr>
                            <w:t>Revêtement de quartz Zodiaq</w:t>
                          </w:r>
                          <w:r>
                            <w:rPr>
                              <w:i/>
                              <w:iCs/>
                              <w:sz w:val="16"/>
                              <w:szCs w:val="16"/>
                            </w:rPr>
                            <w:t>md</w:t>
                          </w:r>
                          <w:r>
                            <w:rPr>
                              <w:i/>
                              <w:iCs/>
                            </w:rPr>
                            <w:t xml:space="preserve"> de DuPontmc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229.5pt;margin-top:740.1pt;width:170.2pt;height: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0Yrg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" o:allowincell="f" filled="f" stroked="f">
              <v:textbox inset="0,0,0,0">
                <w:txbxContent>
                  <w:p w:rsidR="00F50386" w:rsidRDefault="00F50386">
                    <w:pPr>
                      <w:kinsoku w:val="0"/>
                      <w:overflowPunct w:val="0"/>
                      <w:spacing w:line="310" w:lineRule="exact"/>
                      <w:ind w:left="20"/>
                    </w:pPr>
                    <w:r>
                      <w:rPr>
                        <w:i/>
                        <w:iCs/>
                      </w:rPr>
                      <w:t>Revêtement de quartz Zodiaq</w:t>
                    </w:r>
                    <w:r>
                      <w:rPr>
                        <w:i/>
                        <w:iCs/>
                        <w:sz w:val="16"/>
                        <w:szCs w:val="16"/>
                      </w:rPr>
                      <w:t>md</w:t>
                    </w:r>
                    <w:r>
                      <w:rPr>
                        <w:i/>
                        <w:iCs/>
                      </w:rPr>
                      <w:t xml:space="preserve"> de DuPontmc</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1CC" w:rsidRDefault="008F01CC">
      <w:r>
        <w:separator/>
      </w:r>
    </w:p>
  </w:footnote>
  <w:footnote w:type="continuationSeparator" w:id="0">
    <w:p w:rsidR="008F01CC" w:rsidRDefault="008F0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E1" w:rsidRDefault="000C7EE1">
    <w:pPr>
      <w:kinsoku w:val="0"/>
      <w:overflowPunct w:val="0"/>
      <w:spacing w:line="200" w:lineRule="exact"/>
      <w:rPr>
        <w:sz w:val="20"/>
        <w:szCs w:val="20"/>
      </w:rPr>
    </w:pPr>
    <w:r>
      <w:rPr>
        <w:noProof/>
        <w:lang w:val="en-US" w:eastAsia="en-US" w:bidi="ar-SA"/>
      </w:rPr>
      <mc:AlternateContent>
        <mc:Choice Requires="wps">
          <w:drawing>
            <wp:anchor distT="0" distB="0" distL="114300" distR="114300" simplePos="0" relativeHeight="251656192" behindDoc="1" locked="0" layoutInCell="0" allowOverlap="1">
              <wp:simplePos x="0" y="0"/>
              <wp:positionH relativeFrom="page">
                <wp:posOffset>627380</wp:posOffset>
              </wp:positionH>
              <wp:positionV relativeFrom="page">
                <wp:posOffset>459105</wp:posOffset>
              </wp:positionV>
              <wp:extent cx="1030605" cy="5283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386" w:rsidRDefault="00F50386">
                          <w:pPr>
                            <w:pStyle w:val="BodyText"/>
                            <w:kinsoku w:val="0"/>
                            <w:overflowPunct w:val="0"/>
                            <w:spacing w:line="265" w:lineRule="exact"/>
                            <w:ind w:left="20" w:firstLine="0"/>
                          </w:pPr>
                          <w:r>
                            <w:t>&lt;Project Name&gt;</w:t>
                          </w:r>
                        </w:p>
                        <w:p w:rsidR="00F50386" w:rsidRDefault="00F50386">
                          <w:pPr>
                            <w:pStyle w:val="BodyText"/>
                            <w:kinsoku w:val="0"/>
                            <w:overflowPunct w:val="0"/>
                            <w:ind w:left="20" w:firstLine="0"/>
                          </w:pPr>
                          <w:r>
                            <w:t>&lt;Project No.&gt; &lt;Date&gt;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pt;margin-top:36.15pt;width:81.15pt;height:4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" o:allowincell="f" filled="f" stroked="f">
              <v:textbox inset="0,0,0,0">
                <w:txbxContent>
                  <w:p w:rsidR="00F50386" w:rsidRDefault="00F50386">
                    <w:pPr>
                      <w:pStyle w:val="BodyText"/>
                      <w:kinsoku w:val="0"/>
                      <w:overflowPunct w:val="0"/>
                      <w:spacing w:line="265" w:lineRule="exact"/>
                      <w:ind w:left="20" w:firstLine="0"/>
                    </w:pPr>
                    <w:r>
                      <w:t>&lt;Project Name&gt;</w:t>
                    </w:r>
                  </w:p>
                  <w:p w:rsidR="00F50386" w:rsidRDefault="00F50386">
                    <w:pPr>
                      <w:pStyle w:val="BodyText"/>
                      <w:kinsoku w:val="0"/>
                      <w:overflowPunct w:val="0"/>
                      <w:ind w:left="20" w:firstLine="0"/>
                    </w:pPr>
                    <w:r>
                      <w:t>&lt;Project No.&gt; &lt;Date&gt;</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57216" behindDoc="1" locked="0" layoutInCell="0" allowOverlap="1">
              <wp:simplePos x="0" y="0"/>
              <wp:positionH relativeFrom="page">
                <wp:posOffset>4246880</wp:posOffset>
              </wp:positionH>
              <wp:positionV relativeFrom="page">
                <wp:posOffset>459105</wp:posOffset>
              </wp:positionV>
              <wp:extent cx="2705100" cy="5283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EE1" w:rsidRDefault="000C7EE1">
                          <w:pPr>
                            <w:pStyle w:val="BodyText"/>
                            <w:kinsoku w:val="0"/>
                            <w:overflowPunct w:val="0"/>
                            <w:spacing w:line="265" w:lineRule="exact"/>
                            <w:ind w:left="0" w:right="40" w:firstLine="0"/>
                            <w:jc w:val="right"/>
                          </w:pPr>
                          <w:r>
                            <w:t>06 61 19</w:t>
                          </w:r>
                        </w:p>
                        <w:p w:rsidR="000C7EE1" w:rsidRDefault="000C7EE1">
                          <w:pPr>
                            <w:pStyle w:val="BodyText"/>
                            <w:kinsoku w:val="0"/>
                            <w:overflowPunct w:val="0"/>
                            <w:ind w:left="0" w:right="43" w:firstLine="0"/>
                            <w:jc w:val="right"/>
                          </w:pPr>
                          <w:r>
                            <w:t>FABRICATION DES REVÊTEMENTS DE QUARTZ</w:t>
                          </w:r>
                        </w:p>
                        <w:p w:rsidR="000C7EE1" w:rsidRDefault="000C7EE1">
                          <w:pPr>
                            <w:pStyle w:val="BodyText"/>
                            <w:kinsoku w:val="0"/>
                            <w:overflowPunct w:val="0"/>
                            <w:ind w:left="0" w:right="40" w:firstLine="0"/>
                            <w:jc w:val="right"/>
                          </w:pPr>
                          <w:r>
                            <w:t>PAGE </w:t>
                          </w:r>
                          <w:r>
                            <w:fldChar w:fldCharType="begin"/>
                          </w:r>
                          <w:r>
                            <w:instrText xml:space="preserve"> PAGE </w:instrText>
                          </w:r>
                          <w:r>
                            <w:fldChar w:fldCharType="separate"/>
                          </w:r>
                          <w:r w:rsidR="006062AF">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4.4pt;margin-top:36.15pt;width:213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Ha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" o:allowincell="f" filled="f" stroked="f">
              <v:textbox inset="0,0,0,0">
                <w:txbxContent>
                  <w:p w:rsidR="000C7EE1" w:rsidRDefault="000C7EE1">
                    <w:pPr>
                      <w:pStyle w:val="BodyText"/>
                      <w:kinsoku w:val="0"/>
                      <w:overflowPunct w:val="0"/>
                      <w:spacing w:line="265" w:lineRule="exact"/>
                      <w:ind w:left="0" w:right="40" w:firstLine="0"/>
                      <w:jc w:val="right"/>
                    </w:pPr>
                    <w:r>
                      <w:t>06 61 19</w:t>
                    </w:r>
                  </w:p>
                  <w:p w:rsidR="000C7EE1" w:rsidRDefault="000C7EE1">
                    <w:pPr>
                      <w:pStyle w:val="BodyText"/>
                      <w:kinsoku w:val="0"/>
                      <w:overflowPunct w:val="0"/>
                      <w:ind w:left="0" w:right="43" w:firstLine="0"/>
                      <w:jc w:val="right"/>
                    </w:pPr>
                    <w:r>
                      <w:t>FABRICATION DES REVÊTEMENTS DE QUARTZ</w:t>
                    </w:r>
                  </w:p>
                  <w:p w:rsidR="000C7EE1" w:rsidRDefault="000C7EE1">
                    <w:pPr>
                      <w:pStyle w:val="BodyText"/>
                      <w:kinsoku w:val="0"/>
                      <w:overflowPunct w:val="0"/>
                      <w:ind w:left="0" w:right="40" w:firstLine="0"/>
                      <w:jc w:val="right"/>
                    </w:pPr>
                    <w:r>
                      <w:t>PAGE </w:t>
                    </w:r>
                    <w:r>
                      <w:fldChar w:fldCharType="begin"/>
                    </w:r>
                    <w:r>
                      <w:instrText xml:space="preserve"> PAGE </w:instrText>
                    </w:r>
                    <w:r>
                      <w:fldChar w:fldCharType="separate"/>
                    </w:r>
                    <w:r w:rsidR="006062AF">
                      <w:rPr>
                        <w:noProof/>
                      </w:rPr>
                      <w:t>18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E1" w:rsidRDefault="000C7EE1">
    <w:pPr>
      <w:kinsoku w:val="0"/>
      <w:overflowPunct w:val="0"/>
      <w:spacing w:line="200" w:lineRule="exact"/>
      <w:rPr>
        <w:sz w:val="20"/>
        <w:szCs w:val="20"/>
      </w:rPr>
    </w:pPr>
    <w:r>
      <w:rPr>
        <w:noProof/>
        <w:lang w:val="en-US" w:eastAsia="en-US" w:bidi="ar-SA"/>
      </w:rPr>
      <mc:AlternateContent>
        <mc:Choice Requires="wps">
          <w:drawing>
            <wp:anchor distT="0" distB="0" distL="114300" distR="114300" simplePos="0" relativeHeight="251654144" behindDoc="1" locked="0" layoutInCell="0" allowOverlap="1">
              <wp:simplePos x="0" y="0"/>
              <wp:positionH relativeFrom="page">
                <wp:posOffset>810260</wp:posOffset>
              </wp:positionH>
              <wp:positionV relativeFrom="page">
                <wp:posOffset>459105</wp:posOffset>
              </wp:positionV>
              <wp:extent cx="1030605" cy="5283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386" w:rsidRDefault="00F50386">
                          <w:pPr>
                            <w:pStyle w:val="BodyText"/>
                            <w:kinsoku w:val="0"/>
                            <w:overflowPunct w:val="0"/>
                            <w:spacing w:line="265" w:lineRule="exact"/>
                            <w:ind w:left="20" w:firstLine="0"/>
                          </w:pPr>
                          <w:r>
                            <w:t>&lt;Project Name&gt;</w:t>
                          </w:r>
                        </w:p>
                        <w:p w:rsidR="00F50386" w:rsidRDefault="00F50386">
                          <w:pPr>
                            <w:pStyle w:val="BodyText"/>
                            <w:kinsoku w:val="0"/>
                            <w:overflowPunct w:val="0"/>
                            <w:ind w:left="20" w:firstLine="0"/>
                          </w:pPr>
                          <w:r>
                            <w:t>&lt;Project No.&gt; &lt;Date&gt;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63.8pt;margin-top:36.15pt;width:81.15pt;height:4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dQsgIAALAFAAAOAAAAZHJzL2Uyb0RvYy54bWysVNuOmzAQfa/Uf7D8znIJYQE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" o:allowincell="f" filled="f" stroked="f">
              <v:textbox inset="0,0,0,0">
                <w:txbxContent>
                  <w:p w:rsidR="00F50386" w:rsidRDefault="00F50386">
                    <w:pPr>
                      <w:pStyle w:val="BodyText"/>
                      <w:kinsoku w:val="0"/>
                      <w:overflowPunct w:val="0"/>
                      <w:spacing w:line="265" w:lineRule="exact"/>
                      <w:ind w:left="20" w:firstLine="0"/>
                    </w:pPr>
                    <w:r>
                      <w:t>&lt;Project Name&gt;</w:t>
                    </w:r>
                  </w:p>
                  <w:p w:rsidR="00F50386" w:rsidRDefault="00F50386">
                    <w:pPr>
                      <w:pStyle w:val="BodyText"/>
                      <w:kinsoku w:val="0"/>
                      <w:overflowPunct w:val="0"/>
                      <w:ind w:left="20" w:firstLine="0"/>
                    </w:pPr>
                    <w:r>
                      <w:t>&lt;Project No.&gt; &lt;Date&gt;</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55168" behindDoc="1" locked="0" layoutInCell="0" allowOverlap="1">
              <wp:simplePos x="0" y="0"/>
              <wp:positionH relativeFrom="page">
                <wp:posOffset>4429760</wp:posOffset>
              </wp:positionH>
              <wp:positionV relativeFrom="page">
                <wp:posOffset>459105</wp:posOffset>
              </wp:positionV>
              <wp:extent cx="2705100" cy="5283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EE1" w:rsidRDefault="000C7EE1">
                          <w:pPr>
                            <w:pStyle w:val="BodyText"/>
                            <w:kinsoku w:val="0"/>
                            <w:overflowPunct w:val="0"/>
                            <w:spacing w:line="265" w:lineRule="exact"/>
                            <w:ind w:left="0" w:right="40" w:firstLine="0"/>
                            <w:jc w:val="right"/>
                          </w:pPr>
                          <w:r>
                            <w:t>06 61 19</w:t>
                          </w:r>
                        </w:p>
                        <w:p w:rsidR="000C7EE1" w:rsidRDefault="000C7EE1">
                          <w:pPr>
                            <w:pStyle w:val="BodyText"/>
                            <w:kinsoku w:val="0"/>
                            <w:overflowPunct w:val="0"/>
                            <w:ind w:left="0" w:right="43" w:firstLine="0"/>
                            <w:jc w:val="right"/>
                          </w:pPr>
                          <w:r>
                            <w:t>FABRICATION DES REVÊTEMENTS DE QUARTZ</w:t>
                          </w:r>
                        </w:p>
                        <w:p w:rsidR="000C7EE1" w:rsidRDefault="000C7EE1">
                          <w:pPr>
                            <w:pStyle w:val="BodyText"/>
                            <w:kinsoku w:val="0"/>
                            <w:overflowPunct w:val="0"/>
                            <w:ind w:left="0" w:right="40" w:firstLine="0"/>
                            <w:jc w:val="right"/>
                          </w:pPr>
                          <w:r>
                            <w:t>PAGE </w:t>
                          </w:r>
                          <w:r>
                            <w:fldChar w:fldCharType="begin"/>
                          </w:r>
                          <w:r>
                            <w:instrText xml:space="preserve"> PAGE </w:instrText>
                          </w:r>
                          <w:r>
                            <w:fldChar w:fldCharType="separate"/>
                          </w:r>
                          <w:r w:rsidR="006062A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48.8pt;margin-top:36.15pt;width:213pt;height:4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jmsg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" o:allowincell="f" filled="f" stroked="f">
              <v:textbox inset="0,0,0,0">
                <w:txbxContent>
                  <w:p w:rsidR="000C7EE1" w:rsidRDefault="000C7EE1">
                    <w:pPr>
                      <w:pStyle w:val="BodyText"/>
                      <w:kinsoku w:val="0"/>
                      <w:overflowPunct w:val="0"/>
                      <w:spacing w:line="265" w:lineRule="exact"/>
                      <w:ind w:left="0" w:right="40" w:firstLine="0"/>
                      <w:jc w:val="right"/>
                    </w:pPr>
                    <w:r>
                      <w:t>06 61 19</w:t>
                    </w:r>
                  </w:p>
                  <w:p w:rsidR="000C7EE1" w:rsidRDefault="000C7EE1">
                    <w:pPr>
                      <w:pStyle w:val="BodyText"/>
                      <w:kinsoku w:val="0"/>
                      <w:overflowPunct w:val="0"/>
                      <w:ind w:left="0" w:right="43" w:firstLine="0"/>
                      <w:jc w:val="right"/>
                    </w:pPr>
                    <w:r>
                      <w:t>FABRICATION DES REVÊTEMENTS DE QUARTZ</w:t>
                    </w:r>
                  </w:p>
                  <w:p w:rsidR="000C7EE1" w:rsidRDefault="000C7EE1">
                    <w:pPr>
                      <w:pStyle w:val="BodyText"/>
                      <w:kinsoku w:val="0"/>
                      <w:overflowPunct w:val="0"/>
                      <w:ind w:left="0" w:right="40" w:firstLine="0"/>
                      <w:jc w:val="right"/>
                    </w:pPr>
                    <w:r>
                      <w:t>PAGE </w:t>
                    </w:r>
                    <w:r>
                      <w:fldChar w:fldCharType="begin"/>
                    </w:r>
                    <w:r>
                      <w:instrText xml:space="preserve"> PAGE </w:instrText>
                    </w:r>
                    <w:r>
                      <w:fldChar w:fldCharType="separate"/>
                    </w:r>
                    <w:r w:rsidR="006062AF">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7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decimal"/>
      <w:lvlText w:val=".%1"/>
      <w:lvlJc w:val="left"/>
      <w:pPr>
        <w:ind w:hanging="576"/>
      </w:pPr>
      <w:rPr>
        <w:rFonts w:ascii="Times New Roman" w:hAnsi="Times New Roman" w:cs="Times New Roman"/>
        <w:b w:val="0"/>
        <w:bCs w:val="0"/>
        <w:sz w:val="24"/>
        <w:szCs w:val="24"/>
      </w:rPr>
    </w:lvl>
    <w:lvl w:ilvl="1">
      <w:start w:val="1"/>
      <w:numFmt w:val="decimal"/>
      <w:lvlText w:val=".%2"/>
      <w:lvlJc w:val="left"/>
      <w:pPr>
        <w:ind w:hanging="576"/>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1080"/>
      </w:pPr>
      <w:rPr>
        <w:rFonts w:cs="Times New Roman"/>
      </w:rPr>
    </w:lvl>
    <w:lvl w:ilvl="1">
      <w:start w:val="2"/>
      <w:numFmt w:val="decimal"/>
      <w:lvlText w:val="%1.%2"/>
      <w:lvlJc w:val="left"/>
      <w:pPr>
        <w:ind w:hanging="1080"/>
      </w:pPr>
      <w:rPr>
        <w:rFonts w:ascii="Times New Roman" w:hAnsi="Times New Roman" w:cs="Times New Roman"/>
        <w:b w:val="0"/>
        <w:bCs w:val="0"/>
        <w:sz w:val="24"/>
        <w:szCs w:val="24"/>
      </w:rPr>
    </w:lvl>
    <w:lvl w:ilvl="2">
      <w:start w:val="1"/>
      <w:numFmt w:val="decimal"/>
      <w:lvlText w:val=".%3"/>
      <w:lvlJc w:val="left"/>
      <w:pPr>
        <w:ind w:hanging="576"/>
      </w:pPr>
      <w:rPr>
        <w:rFonts w:ascii="Times New Roman" w:hAnsi="Times New Roman" w:cs="Times New Roman"/>
        <w:b w:val="0"/>
        <w:bCs w:val="0"/>
        <w:sz w:val="24"/>
        <w:szCs w:val="24"/>
      </w:rPr>
    </w:lvl>
    <w:lvl w:ilvl="3">
      <w:start w:val="1"/>
      <w:numFmt w:val="decimal"/>
      <w:lvlText w:val=".%4"/>
      <w:lvlJc w:val="left"/>
      <w:pPr>
        <w:ind w:hanging="576"/>
      </w:pPr>
      <w:rPr>
        <w:rFonts w:ascii="Times New Roman" w:hAnsi="Times New Roman" w:cs="Times New Roman"/>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
      <w:numFmt w:val="decimal"/>
      <w:lvlText w:val=".%1"/>
      <w:lvlJc w:val="left"/>
      <w:pPr>
        <w:ind w:hanging="57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2"/>
      <w:numFmt w:val="decimal"/>
      <w:lvlText w:val=".%1"/>
      <w:lvlJc w:val="left"/>
      <w:pPr>
        <w:ind w:hanging="57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1"/>
      <w:numFmt w:val="decimal"/>
      <w:lvlText w:val="%1"/>
      <w:lvlJc w:val="left"/>
      <w:pPr>
        <w:ind w:hanging="1080"/>
      </w:pPr>
      <w:rPr>
        <w:rFonts w:cs="Times New Roman"/>
      </w:rPr>
    </w:lvl>
    <w:lvl w:ilvl="1">
      <w:start w:val="5"/>
      <w:numFmt w:val="decimal"/>
      <w:lvlText w:val="%1.%2"/>
      <w:lvlJc w:val="left"/>
      <w:pPr>
        <w:ind w:hanging="1080"/>
      </w:pPr>
      <w:rPr>
        <w:rFonts w:ascii="Times New Roman" w:hAnsi="Times New Roman" w:cs="Times New Roman"/>
        <w:b w:val="0"/>
        <w:bCs w:val="0"/>
        <w:sz w:val="24"/>
        <w:szCs w:val="24"/>
      </w:rPr>
    </w:lvl>
    <w:lvl w:ilvl="2">
      <w:start w:val="1"/>
      <w:numFmt w:val="decimal"/>
      <w:lvlText w:val=".%3"/>
      <w:lvlJc w:val="left"/>
      <w:pPr>
        <w:ind w:hanging="576"/>
      </w:pPr>
      <w:rPr>
        <w:rFonts w:ascii="Times New Roman" w:hAnsi="Times New Roman" w:cs="Times New Roman"/>
        <w:b w:val="0"/>
        <w:bCs w:val="0"/>
        <w:sz w:val="24"/>
        <w:szCs w:val="24"/>
      </w:rPr>
    </w:lvl>
    <w:lvl w:ilvl="3">
      <w:start w:val="1"/>
      <w:numFmt w:val="decimal"/>
      <w:lvlText w:val=".%4"/>
      <w:lvlJc w:val="left"/>
      <w:pPr>
        <w:ind w:hanging="576"/>
      </w:pPr>
      <w:rPr>
        <w:rFonts w:ascii="Times New Roman" w:hAnsi="Times New Roman" w:cs="Times New Roman"/>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decimal"/>
      <w:lvlText w:val=".%1"/>
      <w:lvlJc w:val="left"/>
      <w:pPr>
        <w:ind w:hanging="576"/>
      </w:pPr>
      <w:rPr>
        <w:rFonts w:ascii="Times New Roman" w:hAnsi="Times New Roman" w:cs="Times New Roman"/>
        <w:b w:val="0"/>
        <w:bCs w:val="0"/>
        <w:sz w:val="24"/>
        <w:szCs w:val="24"/>
      </w:rPr>
    </w:lvl>
    <w:lvl w:ilvl="1">
      <w:start w:val="1"/>
      <w:numFmt w:val="decimal"/>
      <w:lvlText w:val=".%2"/>
      <w:lvlJc w:val="left"/>
      <w:pPr>
        <w:ind w:hanging="576"/>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1"/>
      <w:numFmt w:val="decimal"/>
      <w:lvlText w:val=".%1"/>
      <w:lvlJc w:val="left"/>
      <w:pPr>
        <w:ind w:hanging="57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1"/>
      <w:numFmt w:val="decimal"/>
      <w:lvlText w:val=".%1"/>
      <w:lvlJc w:val="left"/>
      <w:pPr>
        <w:ind w:hanging="57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
      <w:numFmt w:val="decimal"/>
      <w:lvlText w:val=".%1"/>
      <w:lvlJc w:val="left"/>
      <w:pPr>
        <w:ind w:hanging="576"/>
      </w:pPr>
      <w:rPr>
        <w:rFonts w:ascii="Times New Roman" w:hAnsi="Times New Roman" w:cs="Times New Roman"/>
        <w:b w:val="0"/>
        <w:bCs w:val="0"/>
        <w:sz w:val="24"/>
        <w:szCs w:val="24"/>
      </w:rPr>
    </w:lvl>
    <w:lvl w:ilvl="1">
      <w:start w:val="1"/>
      <w:numFmt w:val="decimal"/>
      <w:lvlText w:val=".%2"/>
      <w:lvlJc w:val="left"/>
      <w:pPr>
        <w:ind w:hanging="50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1"/>
      <w:numFmt w:val="decimal"/>
      <w:lvlText w:val=".%1"/>
      <w:lvlJc w:val="left"/>
      <w:pPr>
        <w:ind w:hanging="576"/>
      </w:pPr>
      <w:rPr>
        <w:rFonts w:ascii="Times New Roman" w:hAnsi="Times New Roman" w:cs="Times New Roman"/>
        <w:b w:val="0"/>
        <w:bCs w:val="0"/>
        <w:sz w:val="24"/>
        <w:szCs w:val="24"/>
      </w:rPr>
    </w:lvl>
    <w:lvl w:ilvl="1">
      <w:start w:val="1"/>
      <w:numFmt w:val="decimal"/>
      <w:lvlText w:val=".%2"/>
      <w:lvlJc w:val="left"/>
      <w:pPr>
        <w:ind w:hanging="504"/>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2"/>
      <w:numFmt w:val="decimal"/>
      <w:lvlText w:val="%1"/>
      <w:lvlJc w:val="left"/>
      <w:pPr>
        <w:ind w:hanging="1080"/>
      </w:pPr>
      <w:rPr>
        <w:rFonts w:cs="Times New Roman"/>
      </w:rPr>
    </w:lvl>
    <w:lvl w:ilvl="1">
      <w:start w:val="3"/>
      <w:numFmt w:val="decimal"/>
      <w:lvlText w:val="%1.%2"/>
      <w:lvlJc w:val="left"/>
      <w:pPr>
        <w:ind w:hanging="1080"/>
      </w:pPr>
      <w:rPr>
        <w:rFonts w:ascii="Times New Roman" w:hAnsi="Times New Roman" w:cs="Times New Roman"/>
        <w:b w:val="0"/>
        <w:bCs w:val="0"/>
        <w:sz w:val="24"/>
        <w:szCs w:val="24"/>
      </w:rPr>
    </w:lvl>
    <w:lvl w:ilvl="2">
      <w:start w:val="1"/>
      <w:numFmt w:val="decimal"/>
      <w:lvlText w:val=".%3"/>
      <w:lvlJc w:val="left"/>
      <w:pPr>
        <w:ind w:hanging="576"/>
      </w:pPr>
      <w:rPr>
        <w:rFonts w:ascii="Times New Roman" w:hAnsi="Times New Roman" w:cs="Times New Roman"/>
        <w:b w:val="0"/>
        <w:bCs w:val="0"/>
        <w:sz w:val="24"/>
        <w:szCs w:val="24"/>
      </w:rPr>
    </w:lvl>
    <w:lvl w:ilvl="3">
      <w:start w:val="1"/>
      <w:numFmt w:val="decimal"/>
      <w:lvlText w:val=".%4"/>
      <w:lvlJc w:val="left"/>
      <w:pPr>
        <w:ind w:hanging="576"/>
      </w:pPr>
      <w:rPr>
        <w:rFonts w:ascii="Times New Roman" w:hAnsi="Times New Roman" w:cs="Times New Roman"/>
        <w:b w:val="0"/>
        <w:bCs w:val="0"/>
        <w:sz w:val="24"/>
        <w:szCs w:val="24"/>
      </w:rPr>
    </w:lvl>
    <w:lvl w:ilvl="4">
      <w:start w:val="1"/>
      <w:numFmt w:val="decimal"/>
      <w:lvlText w:val=".%5"/>
      <w:lvlJc w:val="left"/>
      <w:pPr>
        <w:ind w:hanging="504"/>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1"/>
      <w:numFmt w:val="decimal"/>
      <w:lvlText w:val=".%1"/>
      <w:lvlJc w:val="left"/>
      <w:pPr>
        <w:ind w:hanging="57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start w:val="3"/>
      <w:numFmt w:val="decimal"/>
      <w:lvlText w:val="%1"/>
      <w:lvlJc w:val="left"/>
      <w:pPr>
        <w:ind w:hanging="1080"/>
      </w:pPr>
      <w:rPr>
        <w:rFonts w:cs="Times New Roman"/>
      </w:rPr>
    </w:lvl>
    <w:lvl w:ilvl="1">
      <w:start w:val="2"/>
      <w:numFmt w:val="decimal"/>
      <w:lvlText w:val="%1.%2"/>
      <w:lvlJc w:val="left"/>
      <w:pPr>
        <w:ind w:hanging="1080"/>
      </w:pPr>
      <w:rPr>
        <w:rFonts w:ascii="Times New Roman" w:hAnsi="Times New Roman" w:cs="Times New Roman"/>
        <w:b w:val="0"/>
        <w:bCs w:val="0"/>
        <w:sz w:val="24"/>
        <w:szCs w:val="24"/>
      </w:rPr>
    </w:lvl>
    <w:lvl w:ilvl="2">
      <w:start w:val="1"/>
      <w:numFmt w:val="decimal"/>
      <w:lvlText w:val=".%3"/>
      <w:lvlJc w:val="left"/>
      <w:pPr>
        <w:ind w:hanging="576"/>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00000893"/>
    <w:lvl w:ilvl="0">
      <w:start w:val="1"/>
      <w:numFmt w:val="decimal"/>
      <w:lvlText w:val=".%1"/>
      <w:lvlJc w:val="left"/>
      <w:pPr>
        <w:ind w:hanging="57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start w:val="1"/>
      <w:numFmt w:val="decimal"/>
      <w:lvlText w:val=".%1"/>
      <w:lvlJc w:val="left"/>
      <w:pPr>
        <w:ind w:hanging="57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34"/>
    <w:rsid w:val="00033293"/>
    <w:rsid w:val="000837A8"/>
    <w:rsid w:val="000C7EE1"/>
    <w:rsid w:val="001F5EA4"/>
    <w:rsid w:val="00240EF2"/>
    <w:rsid w:val="00266776"/>
    <w:rsid w:val="002F6F85"/>
    <w:rsid w:val="00315084"/>
    <w:rsid w:val="00346BE9"/>
    <w:rsid w:val="003E47C7"/>
    <w:rsid w:val="004B06DE"/>
    <w:rsid w:val="004D6D2A"/>
    <w:rsid w:val="006062AF"/>
    <w:rsid w:val="00607C61"/>
    <w:rsid w:val="0061783D"/>
    <w:rsid w:val="006C29F9"/>
    <w:rsid w:val="006D472C"/>
    <w:rsid w:val="007157BA"/>
    <w:rsid w:val="007E212C"/>
    <w:rsid w:val="008565B5"/>
    <w:rsid w:val="00887415"/>
    <w:rsid w:val="008D2484"/>
    <w:rsid w:val="008F01CC"/>
    <w:rsid w:val="009C644C"/>
    <w:rsid w:val="009C7608"/>
    <w:rsid w:val="00A43F34"/>
    <w:rsid w:val="00A66122"/>
    <w:rsid w:val="00A96EB8"/>
    <w:rsid w:val="00B20B8F"/>
    <w:rsid w:val="00B71220"/>
    <w:rsid w:val="00B808B3"/>
    <w:rsid w:val="00B80B77"/>
    <w:rsid w:val="00B8348D"/>
    <w:rsid w:val="00BE3DB3"/>
    <w:rsid w:val="00C02CA0"/>
    <w:rsid w:val="00C802DC"/>
    <w:rsid w:val="00D81834"/>
    <w:rsid w:val="00E34F45"/>
    <w:rsid w:val="00E51AF2"/>
    <w:rsid w:val="00E62553"/>
    <w:rsid w:val="00E93D6C"/>
    <w:rsid w:val="00ED6157"/>
    <w:rsid w:val="00ED6EA6"/>
    <w:rsid w:val="00F00405"/>
    <w:rsid w:val="00F50386"/>
    <w:rsid w:val="00F50E28"/>
    <w:rsid w:val="00F63CD2"/>
    <w:rsid w:val="00F65BB0"/>
    <w:rsid w:val="00FA66E3"/>
    <w:rsid w:val="00FE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52" w:hanging="576"/>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6F85"/>
    <w:pPr>
      <w:tabs>
        <w:tab w:val="center" w:pos="4680"/>
        <w:tab w:val="right" w:pos="9360"/>
      </w:tabs>
    </w:pPr>
  </w:style>
  <w:style w:type="character" w:customStyle="1" w:styleId="HeaderChar">
    <w:name w:val="Header Char"/>
    <w:basedOn w:val="DefaultParagraphFont"/>
    <w:link w:val="Header"/>
    <w:uiPriority w:val="99"/>
    <w:locked/>
    <w:rsid w:val="002F6F85"/>
    <w:rPr>
      <w:rFonts w:ascii="Times New Roman" w:hAnsi="Times New Roman" w:cs="Times New Roman"/>
      <w:sz w:val="24"/>
      <w:szCs w:val="24"/>
    </w:rPr>
  </w:style>
  <w:style w:type="paragraph" w:styleId="Footer">
    <w:name w:val="footer"/>
    <w:basedOn w:val="Normal"/>
    <w:link w:val="FooterChar"/>
    <w:uiPriority w:val="99"/>
    <w:unhideWhenUsed/>
    <w:rsid w:val="002F6F85"/>
    <w:pPr>
      <w:tabs>
        <w:tab w:val="center" w:pos="4680"/>
        <w:tab w:val="right" w:pos="9360"/>
      </w:tabs>
    </w:pPr>
  </w:style>
  <w:style w:type="character" w:customStyle="1" w:styleId="FooterChar">
    <w:name w:val="Footer Char"/>
    <w:basedOn w:val="DefaultParagraphFont"/>
    <w:link w:val="Footer"/>
    <w:uiPriority w:val="99"/>
    <w:locked/>
    <w:rsid w:val="002F6F8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50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CA" w:eastAsia="fr-CA" w:bidi="fr-C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52" w:hanging="576"/>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6F85"/>
    <w:pPr>
      <w:tabs>
        <w:tab w:val="center" w:pos="4680"/>
        <w:tab w:val="right" w:pos="9360"/>
      </w:tabs>
    </w:pPr>
  </w:style>
  <w:style w:type="character" w:customStyle="1" w:styleId="HeaderChar">
    <w:name w:val="Header Char"/>
    <w:basedOn w:val="DefaultParagraphFont"/>
    <w:link w:val="Header"/>
    <w:uiPriority w:val="99"/>
    <w:locked/>
    <w:rsid w:val="002F6F85"/>
    <w:rPr>
      <w:rFonts w:ascii="Times New Roman" w:hAnsi="Times New Roman" w:cs="Times New Roman"/>
      <w:sz w:val="24"/>
      <w:szCs w:val="24"/>
    </w:rPr>
  </w:style>
  <w:style w:type="paragraph" w:styleId="Footer">
    <w:name w:val="footer"/>
    <w:basedOn w:val="Normal"/>
    <w:link w:val="FooterChar"/>
    <w:uiPriority w:val="99"/>
    <w:unhideWhenUsed/>
    <w:rsid w:val="002F6F85"/>
    <w:pPr>
      <w:tabs>
        <w:tab w:val="center" w:pos="4680"/>
        <w:tab w:val="right" w:pos="9360"/>
      </w:tabs>
    </w:pPr>
  </w:style>
  <w:style w:type="character" w:customStyle="1" w:styleId="FooterChar">
    <w:name w:val="Footer Char"/>
    <w:basedOn w:val="DefaultParagraphFont"/>
    <w:link w:val="Footer"/>
    <w:uiPriority w:val="99"/>
    <w:locked/>
    <w:rsid w:val="002F6F8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50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qmd.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gb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ileston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odiaq.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CSC Section 06 61 19</vt:lpstr>
    </vt:vector>
  </TitlesOfParts>
  <Company>DuPont</Company>
  <LinksUpToDate>false</LinksUpToDate>
  <CharactersWithSpaces>26732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 Section 06 61 19</dc:title>
  <dc:subject>Quartz Surfacing Fabrication</dc:subject>
  <dc:creator>DuPont</dc:creator>
  <cp:keywords>DuPont™ Zodiaq® Quartz Surface</cp:keywords>
  <dc:description>www.zodiaq.com</dc:description>
  <cp:lastModifiedBy>McElhatton, Kate</cp:lastModifiedBy>
  <cp:revision>2</cp:revision>
  <cp:lastPrinted>2016-04-12T16:16:00Z</cp:lastPrinted>
  <dcterms:created xsi:type="dcterms:W3CDTF">2017-07-17T20:08:00Z</dcterms:created>
  <dcterms:modified xsi:type="dcterms:W3CDTF">2017-07-17T20:08:00Z</dcterms:modified>
  <cp:category>quartz surface, fabrication, Masterspec</cp:category>
</cp:coreProperties>
</file>